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AC3" w:rsidRDefault="00F75AC3" w:rsidP="00997AF0">
      <w:pPr>
        <w:pStyle w:val="Level3forPetition"/>
      </w:pPr>
      <w:bookmarkStart w:id="0" w:name="_Toc436552880"/>
    </w:p>
    <w:p w:rsidR="004F6955" w:rsidRPr="00F972D7" w:rsidRDefault="004F6955" w:rsidP="00125ADD">
      <w:pPr>
        <w:widowControl w:val="0"/>
        <w:pBdr>
          <w:top w:val="single" w:sz="24" w:space="1" w:color="000080"/>
          <w:left w:val="single" w:sz="24" w:space="4" w:color="000080"/>
          <w:bottom w:val="single" w:sz="24" w:space="1" w:color="000080"/>
          <w:right w:val="single" w:sz="24" w:space="4" w:color="000080"/>
        </w:pBdr>
        <w:tabs>
          <w:tab w:val="left" w:pos="8820"/>
        </w:tabs>
        <w:jc w:val="center"/>
        <w:rPr>
          <w:b/>
          <w:sz w:val="32"/>
          <w:szCs w:val="40"/>
        </w:rPr>
      </w:pPr>
      <w:r w:rsidRPr="00F972D7">
        <w:rPr>
          <w:b/>
          <w:sz w:val="32"/>
          <w:szCs w:val="40"/>
        </w:rPr>
        <w:t>ODISHA POWER GENERATION CORPORATION LIMITED</w:t>
      </w:r>
    </w:p>
    <w:p w:rsidR="004F6955" w:rsidRDefault="004F6955" w:rsidP="00125ADD">
      <w:pPr>
        <w:widowControl w:val="0"/>
        <w:pBdr>
          <w:top w:val="single" w:sz="24" w:space="1" w:color="000080"/>
          <w:left w:val="single" w:sz="24" w:space="4" w:color="000080"/>
          <w:bottom w:val="single" w:sz="24" w:space="1" w:color="000080"/>
          <w:right w:val="single" w:sz="24" w:space="4" w:color="000080"/>
        </w:pBdr>
        <w:tabs>
          <w:tab w:val="left" w:pos="8820"/>
        </w:tabs>
        <w:jc w:val="center"/>
        <w:rPr>
          <w:b/>
          <w:sz w:val="32"/>
          <w:szCs w:val="40"/>
        </w:rPr>
      </w:pPr>
      <w:r w:rsidRPr="00F972D7">
        <w:rPr>
          <w:b/>
          <w:sz w:val="32"/>
          <w:szCs w:val="40"/>
        </w:rPr>
        <w:t>BHUBANESWAR</w:t>
      </w:r>
    </w:p>
    <w:p w:rsidR="00CF542A" w:rsidRDefault="00CF542A" w:rsidP="00125ADD">
      <w:pPr>
        <w:widowControl w:val="0"/>
        <w:pBdr>
          <w:top w:val="single" w:sz="24" w:space="1" w:color="000080"/>
          <w:left w:val="single" w:sz="24" w:space="4" w:color="000080"/>
          <w:bottom w:val="single" w:sz="24" w:space="1" w:color="000080"/>
          <w:right w:val="single" w:sz="24" w:space="4" w:color="000080"/>
        </w:pBdr>
        <w:tabs>
          <w:tab w:val="left" w:pos="8820"/>
        </w:tabs>
        <w:jc w:val="center"/>
        <w:rPr>
          <w:b/>
          <w:sz w:val="32"/>
          <w:szCs w:val="40"/>
        </w:rPr>
      </w:pPr>
      <w:bookmarkStart w:id="1" w:name="_Toc467847036"/>
      <w:bookmarkStart w:id="2" w:name="_Toc467847158"/>
      <w:bookmarkStart w:id="3" w:name="_Toc514343105"/>
      <w:bookmarkStart w:id="4" w:name="_Toc514762796"/>
      <w:bookmarkStart w:id="5" w:name="_Toc514838596"/>
      <w:bookmarkStart w:id="6" w:name="_Toc530491635"/>
      <w:r w:rsidRPr="00F972D7">
        <w:rPr>
          <w:noProof/>
          <w:sz w:val="36"/>
          <w:szCs w:val="40"/>
          <w:lang w:val="en-US"/>
        </w:rPr>
        <w:drawing>
          <wp:inline distT="0" distB="0" distL="0" distR="0">
            <wp:extent cx="2238375" cy="244792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38375" cy="2447925"/>
                    </a:xfrm>
                    <a:prstGeom prst="rect">
                      <a:avLst/>
                    </a:prstGeom>
                    <a:noFill/>
                    <a:ln w="9525">
                      <a:noFill/>
                      <a:miter lim="800000"/>
                      <a:headEnd/>
                      <a:tailEnd/>
                    </a:ln>
                  </pic:spPr>
                </pic:pic>
              </a:graphicData>
            </a:graphic>
          </wp:inline>
        </w:drawing>
      </w:r>
      <w:bookmarkEnd w:id="1"/>
      <w:bookmarkEnd w:id="2"/>
      <w:bookmarkEnd w:id="3"/>
      <w:bookmarkEnd w:id="4"/>
      <w:bookmarkEnd w:id="5"/>
      <w:bookmarkEnd w:id="6"/>
    </w:p>
    <w:p w:rsidR="00CF542A" w:rsidRDefault="00CF542A" w:rsidP="00CF542A">
      <w:pPr>
        <w:widowControl w:val="0"/>
        <w:pBdr>
          <w:top w:val="single" w:sz="24" w:space="1" w:color="000080"/>
          <w:left w:val="single" w:sz="24" w:space="4" w:color="000080"/>
          <w:bottom w:val="single" w:sz="24" w:space="1" w:color="000080"/>
          <w:right w:val="single" w:sz="24" w:space="4" w:color="000080"/>
        </w:pBdr>
        <w:jc w:val="center"/>
        <w:rPr>
          <w:b/>
          <w:sz w:val="32"/>
          <w:szCs w:val="40"/>
        </w:rPr>
      </w:pPr>
    </w:p>
    <w:p w:rsidR="00CF542A" w:rsidRDefault="00CF542A" w:rsidP="00CF542A">
      <w:pPr>
        <w:widowControl w:val="0"/>
        <w:pBdr>
          <w:top w:val="single" w:sz="24" w:space="1" w:color="000080"/>
          <w:left w:val="single" w:sz="24" w:space="4" w:color="000080"/>
          <w:bottom w:val="single" w:sz="24" w:space="1" w:color="000080"/>
          <w:right w:val="single" w:sz="24" w:space="4" w:color="000080"/>
        </w:pBdr>
        <w:jc w:val="center"/>
        <w:rPr>
          <w:b/>
          <w:sz w:val="32"/>
          <w:szCs w:val="40"/>
        </w:rPr>
      </w:pPr>
      <w:r>
        <w:rPr>
          <w:b/>
          <w:sz w:val="32"/>
          <w:szCs w:val="40"/>
        </w:rPr>
        <w:t xml:space="preserve">PETITION </w:t>
      </w:r>
      <w:r w:rsidRPr="00F972D7">
        <w:rPr>
          <w:b/>
          <w:sz w:val="32"/>
          <w:szCs w:val="40"/>
        </w:rPr>
        <w:t xml:space="preserve">FOR </w:t>
      </w:r>
      <w:r>
        <w:rPr>
          <w:b/>
          <w:sz w:val="32"/>
          <w:szCs w:val="40"/>
        </w:rPr>
        <w:t xml:space="preserve">DETERMINATION OF TARIFF FOR </w:t>
      </w:r>
    </w:p>
    <w:p w:rsidR="00CF542A" w:rsidRDefault="00CF542A" w:rsidP="00CF542A">
      <w:pPr>
        <w:widowControl w:val="0"/>
        <w:pBdr>
          <w:top w:val="single" w:sz="24" w:space="1" w:color="000080"/>
          <w:left w:val="single" w:sz="24" w:space="4" w:color="000080"/>
          <w:bottom w:val="single" w:sz="24" w:space="1" w:color="000080"/>
          <w:right w:val="single" w:sz="24" w:space="4" w:color="000080"/>
        </w:pBdr>
        <w:jc w:val="center"/>
        <w:rPr>
          <w:b/>
          <w:sz w:val="32"/>
          <w:szCs w:val="40"/>
        </w:rPr>
      </w:pPr>
      <w:r>
        <w:rPr>
          <w:b/>
          <w:sz w:val="32"/>
          <w:szCs w:val="40"/>
        </w:rPr>
        <w:t>IB TPS UNITS 1 &amp; 2 FOR FY 2019-20</w:t>
      </w:r>
    </w:p>
    <w:p w:rsidR="00CF542A" w:rsidRDefault="00CF542A" w:rsidP="00CF542A">
      <w:pPr>
        <w:widowControl w:val="0"/>
        <w:pBdr>
          <w:top w:val="single" w:sz="24" w:space="1" w:color="000080"/>
          <w:left w:val="single" w:sz="24" w:space="4" w:color="000080"/>
          <w:bottom w:val="single" w:sz="24" w:space="1" w:color="000080"/>
          <w:right w:val="single" w:sz="24" w:space="4" w:color="000080"/>
        </w:pBdr>
        <w:jc w:val="center"/>
        <w:rPr>
          <w:b/>
          <w:sz w:val="32"/>
          <w:szCs w:val="40"/>
        </w:rPr>
      </w:pPr>
    </w:p>
    <w:p w:rsidR="00CF542A" w:rsidRDefault="00CF542A" w:rsidP="00CF542A">
      <w:pPr>
        <w:widowControl w:val="0"/>
        <w:pBdr>
          <w:top w:val="single" w:sz="24" w:space="1" w:color="000080"/>
          <w:left w:val="single" w:sz="24" w:space="4" w:color="000080"/>
          <w:bottom w:val="single" w:sz="24" w:space="1" w:color="000080"/>
          <w:right w:val="single" w:sz="24" w:space="4" w:color="000080"/>
        </w:pBdr>
        <w:jc w:val="center"/>
        <w:rPr>
          <w:b/>
          <w:sz w:val="32"/>
          <w:szCs w:val="40"/>
        </w:rPr>
      </w:pPr>
    </w:p>
    <w:p w:rsidR="00CF542A" w:rsidRDefault="00CF542A" w:rsidP="00CF542A">
      <w:pPr>
        <w:widowControl w:val="0"/>
        <w:pBdr>
          <w:top w:val="single" w:sz="24" w:space="1" w:color="000080"/>
          <w:left w:val="single" w:sz="24" w:space="4" w:color="000080"/>
          <w:bottom w:val="single" w:sz="24" w:space="1" w:color="000080"/>
          <w:right w:val="single" w:sz="24" w:space="4" w:color="000080"/>
        </w:pBdr>
        <w:jc w:val="center"/>
        <w:rPr>
          <w:b/>
          <w:sz w:val="32"/>
          <w:szCs w:val="40"/>
        </w:rPr>
      </w:pPr>
    </w:p>
    <w:p w:rsidR="00CF542A" w:rsidRPr="00F972D7" w:rsidRDefault="00CF542A" w:rsidP="00CF542A">
      <w:pPr>
        <w:widowControl w:val="0"/>
        <w:pBdr>
          <w:top w:val="single" w:sz="24" w:space="1" w:color="000080"/>
          <w:left w:val="single" w:sz="24" w:space="4" w:color="000080"/>
          <w:bottom w:val="single" w:sz="24" w:space="1" w:color="000080"/>
          <w:right w:val="single" w:sz="24" w:space="4" w:color="000080"/>
        </w:pBdr>
        <w:jc w:val="center"/>
        <w:rPr>
          <w:b/>
          <w:sz w:val="32"/>
          <w:szCs w:val="40"/>
        </w:rPr>
      </w:pPr>
    </w:p>
    <w:p w:rsidR="00CF542A" w:rsidRDefault="00CF542A" w:rsidP="00CF542A">
      <w:pPr>
        <w:widowControl w:val="0"/>
        <w:pBdr>
          <w:top w:val="single" w:sz="24" w:space="1" w:color="000080"/>
          <w:left w:val="single" w:sz="24" w:space="4" w:color="000080"/>
          <w:bottom w:val="single" w:sz="24" w:space="1" w:color="000080"/>
          <w:right w:val="single" w:sz="24" w:space="4" w:color="000080"/>
        </w:pBdr>
        <w:jc w:val="center"/>
        <w:rPr>
          <w:b/>
          <w:sz w:val="32"/>
          <w:szCs w:val="40"/>
        </w:rPr>
      </w:pPr>
    </w:p>
    <w:p w:rsidR="00CF542A" w:rsidRDefault="00CF542A" w:rsidP="00CF542A">
      <w:pPr>
        <w:widowControl w:val="0"/>
        <w:pBdr>
          <w:top w:val="single" w:sz="24" w:space="1" w:color="000080"/>
          <w:left w:val="single" w:sz="24" w:space="4" w:color="000080"/>
          <w:bottom w:val="single" w:sz="24" w:space="1" w:color="000080"/>
          <w:right w:val="single" w:sz="24" w:space="4" w:color="000080"/>
        </w:pBdr>
        <w:tabs>
          <w:tab w:val="left" w:pos="8820"/>
        </w:tabs>
        <w:jc w:val="center"/>
        <w:rPr>
          <w:b/>
          <w:sz w:val="32"/>
          <w:szCs w:val="40"/>
        </w:rPr>
      </w:pPr>
      <w:r>
        <w:rPr>
          <w:sz w:val="32"/>
          <w:szCs w:val="38"/>
        </w:rPr>
        <w:t>NOVEMBER</w:t>
      </w:r>
      <w:r w:rsidRPr="00F972D7">
        <w:rPr>
          <w:sz w:val="32"/>
          <w:szCs w:val="38"/>
        </w:rPr>
        <w:t>, 201</w:t>
      </w:r>
      <w:r>
        <w:rPr>
          <w:sz w:val="32"/>
          <w:szCs w:val="38"/>
        </w:rPr>
        <w:t>8</w:t>
      </w:r>
    </w:p>
    <w:p w:rsidR="009A7168" w:rsidRPr="00F972D7" w:rsidRDefault="009A7168" w:rsidP="00125ADD">
      <w:pPr>
        <w:widowControl w:val="0"/>
        <w:pBdr>
          <w:top w:val="single" w:sz="24" w:space="1" w:color="000080"/>
          <w:left w:val="single" w:sz="24" w:space="4" w:color="000080"/>
          <w:bottom w:val="single" w:sz="24" w:space="1" w:color="000080"/>
          <w:right w:val="single" w:sz="24" w:space="4" w:color="000080"/>
        </w:pBdr>
        <w:tabs>
          <w:tab w:val="left" w:pos="8820"/>
        </w:tabs>
        <w:jc w:val="center"/>
        <w:rPr>
          <w:b/>
          <w:sz w:val="32"/>
          <w:szCs w:val="40"/>
        </w:rPr>
      </w:pPr>
    </w:p>
    <w:p w:rsidR="004F6955" w:rsidRPr="00F972D7" w:rsidRDefault="004F6955" w:rsidP="00CF542A">
      <w:pPr>
        <w:rPr>
          <w:b/>
          <w:sz w:val="32"/>
          <w:szCs w:val="40"/>
        </w:rPr>
      </w:pPr>
    </w:p>
    <w:bookmarkEnd w:id="0"/>
    <w:p w:rsidR="00407D93" w:rsidRPr="00F972D7" w:rsidRDefault="004A1AAD" w:rsidP="00125ADD">
      <w:pPr>
        <w:widowControl w:val="0"/>
        <w:pBdr>
          <w:top w:val="single" w:sz="24" w:space="1" w:color="000080"/>
          <w:left w:val="single" w:sz="24" w:space="4" w:color="000080"/>
          <w:bottom w:val="single" w:sz="24" w:space="1" w:color="000080"/>
          <w:right w:val="single" w:sz="24" w:space="4" w:color="000080"/>
        </w:pBdr>
        <w:jc w:val="center"/>
      </w:pPr>
      <w:r w:rsidRPr="00F972D7">
        <w:br w:type="page"/>
      </w:r>
    </w:p>
    <w:p w:rsidR="00101183" w:rsidRPr="00F972D7" w:rsidRDefault="00B5744E" w:rsidP="00125ADD">
      <w:pPr>
        <w:widowControl w:val="0"/>
        <w:rPr>
          <w:b/>
          <w:szCs w:val="24"/>
        </w:rPr>
      </w:pPr>
      <w:r w:rsidRPr="00F972D7">
        <w:rPr>
          <w:b/>
          <w:szCs w:val="24"/>
        </w:rPr>
        <w:lastRenderedPageBreak/>
        <w:t xml:space="preserve">BEFORE THE </w:t>
      </w:r>
      <w:r w:rsidR="00FD45A8" w:rsidRPr="00F972D7">
        <w:rPr>
          <w:b/>
          <w:szCs w:val="24"/>
        </w:rPr>
        <w:t>ODISHA</w:t>
      </w:r>
      <w:r w:rsidRPr="00F972D7">
        <w:rPr>
          <w:b/>
          <w:szCs w:val="24"/>
        </w:rPr>
        <w:t xml:space="preserve"> ELECTRICITY REGULATORY COMMISSION, </w:t>
      </w:r>
      <w:r w:rsidR="006A7582">
        <w:rPr>
          <w:b/>
          <w:szCs w:val="24"/>
        </w:rPr>
        <w:t>BHUBANESHWAR</w:t>
      </w:r>
    </w:p>
    <w:p w:rsidR="00101183" w:rsidRPr="00F972D7" w:rsidRDefault="00101183" w:rsidP="00125ADD">
      <w:pPr>
        <w:widowControl w:val="0"/>
        <w:rPr>
          <w:b/>
          <w:szCs w:val="24"/>
        </w:rPr>
      </w:pPr>
    </w:p>
    <w:p w:rsidR="00AD18E4" w:rsidRPr="00F972D7" w:rsidRDefault="00B5744E" w:rsidP="00125ADD">
      <w:pPr>
        <w:widowControl w:val="0"/>
        <w:rPr>
          <w:szCs w:val="24"/>
        </w:rPr>
      </w:pPr>
      <w:r w:rsidRPr="00F972D7">
        <w:rPr>
          <w:szCs w:val="24"/>
        </w:rPr>
        <w:t xml:space="preserve">CASE No. ____ of </w:t>
      </w:r>
      <w:r w:rsidR="00D1305A" w:rsidRPr="00F972D7">
        <w:rPr>
          <w:szCs w:val="24"/>
        </w:rPr>
        <w:t>201</w:t>
      </w:r>
      <w:r w:rsidR="003447C7">
        <w:rPr>
          <w:szCs w:val="24"/>
        </w:rPr>
        <w:t>8</w:t>
      </w:r>
    </w:p>
    <w:p w:rsidR="00C02A3B" w:rsidRPr="00F972D7" w:rsidRDefault="00C02A3B" w:rsidP="00125ADD">
      <w:pPr>
        <w:widowControl w:val="0"/>
        <w:rPr>
          <w:szCs w:val="24"/>
        </w:rPr>
      </w:pPr>
    </w:p>
    <w:tbl>
      <w:tblPr>
        <w:tblW w:w="9322" w:type="dxa"/>
        <w:tblLook w:val="04A0"/>
      </w:tblPr>
      <w:tblGrid>
        <w:gridCol w:w="2977"/>
        <w:gridCol w:w="6345"/>
      </w:tblGrid>
      <w:tr w:rsidR="00202971" w:rsidRPr="00FF19D0" w:rsidTr="00FB04A9">
        <w:trPr>
          <w:trHeight w:val="1154"/>
        </w:trPr>
        <w:tc>
          <w:tcPr>
            <w:tcW w:w="2977" w:type="dxa"/>
          </w:tcPr>
          <w:p w:rsidR="00AD18E4" w:rsidRPr="00FF19D0" w:rsidRDefault="00B5744E" w:rsidP="00125ADD">
            <w:pPr>
              <w:widowControl w:val="0"/>
              <w:rPr>
                <w:szCs w:val="24"/>
              </w:rPr>
            </w:pPr>
            <w:bookmarkStart w:id="7" w:name="_Hlk331162810"/>
            <w:r w:rsidRPr="00FF19D0">
              <w:rPr>
                <w:b/>
                <w:szCs w:val="24"/>
              </w:rPr>
              <w:t>IN THE MATTER OF</w:t>
            </w:r>
          </w:p>
        </w:tc>
        <w:tc>
          <w:tcPr>
            <w:tcW w:w="6345" w:type="dxa"/>
          </w:tcPr>
          <w:p w:rsidR="00AD18E4" w:rsidRPr="00FF19D0" w:rsidRDefault="009C6D0C" w:rsidP="004B38B7">
            <w:pPr>
              <w:pStyle w:val="Verbatium"/>
              <w:ind w:left="0"/>
              <w:rPr>
                <w:i w:val="0"/>
                <w:sz w:val="24"/>
                <w:szCs w:val="24"/>
              </w:rPr>
            </w:pPr>
            <w:r w:rsidRPr="00FF19D0">
              <w:rPr>
                <w:i w:val="0"/>
                <w:sz w:val="24"/>
                <w:szCs w:val="24"/>
              </w:rPr>
              <w:t>Petition</w:t>
            </w:r>
            <w:r w:rsidR="00E93535">
              <w:rPr>
                <w:i w:val="0"/>
                <w:sz w:val="24"/>
                <w:szCs w:val="24"/>
              </w:rPr>
              <w:t xml:space="preserve"> </w:t>
            </w:r>
            <w:r w:rsidR="00FD45A8" w:rsidRPr="00FF19D0">
              <w:rPr>
                <w:i w:val="0"/>
                <w:sz w:val="24"/>
                <w:szCs w:val="24"/>
              </w:rPr>
              <w:t xml:space="preserve">for </w:t>
            </w:r>
            <w:r w:rsidR="00675C9F" w:rsidRPr="00FF19D0">
              <w:rPr>
                <w:i w:val="0"/>
                <w:sz w:val="24"/>
                <w:szCs w:val="24"/>
              </w:rPr>
              <w:t xml:space="preserve">determination of Tariff for </w:t>
            </w:r>
            <w:r w:rsidR="002A4244" w:rsidRPr="00FF19D0">
              <w:rPr>
                <w:i w:val="0"/>
                <w:sz w:val="24"/>
                <w:szCs w:val="24"/>
              </w:rPr>
              <w:t>IB TPS Units 1 &amp; 2 for FY 2019-20</w:t>
            </w:r>
          </w:p>
        </w:tc>
      </w:tr>
      <w:bookmarkEnd w:id="7"/>
      <w:tr w:rsidR="00202971" w:rsidRPr="00FF19D0" w:rsidTr="00FB04A9">
        <w:trPr>
          <w:trHeight w:val="362"/>
        </w:trPr>
        <w:tc>
          <w:tcPr>
            <w:tcW w:w="2977" w:type="dxa"/>
          </w:tcPr>
          <w:p w:rsidR="00AD18E4" w:rsidRPr="00FF19D0" w:rsidRDefault="00B5744E" w:rsidP="00125ADD">
            <w:pPr>
              <w:widowControl w:val="0"/>
              <w:rPr>
                <w:szCs w:val="24"/>
              </w:rPr>
            </w:pPr>
            <w:r w:rsidRPr="00FF19D0">
              <w:rPr>
                <w:b/>
                <w:szCs w:val="24"/>
              </w:rPr>
              <w:t>AND</w:t>
            </w:r>
          </w:p>
        </w:tc>
        <w:tc>
          <w:tcPr>
            <w:tcW w:w="6345" w:type="dxa"/>
          </w:tcPr>
          <w:p w:rsidR="00AD18E4" w:rsidRPr="00FF19D0" w:rsidRDefault="00AD18E4" w:rsidP="00125ADD">
            <w:pPr>
              <w:widowControl w:val="0"/>
              <w:spacing w:line="240" w:lineRule="auto"/>
              <w:outlineLvl w:val="2"/>
              <w:rPr>
                <w:szCs w:val="24"/>
              </w:rPr>
            </w:pPr>
          </w:p>
        </w:tc>
      </w:tr>
      <w:tr w:rsidR="00202971" w:rsidRPr="00FF19D0" w:rsidTr="00FB04A9">
        <w:trPr>
          <w:trHeight w:val="1204"/>
        </w:trPr>
        <w:tc>
          <w:tcPr>
            <w:tcW w:w="2977" w:type="dxa"/>
          </w:tcPr>
          <w:p w:rsidR="00CC5554" w:rsidRPr="00FF19D0" w:rsidRDefault="00CC5554" w:rsidP="00125ADD">
            <w:pPr>
              <w:widowControl w:val="0"/>
              <w:rPr>
                <w:b/>
                <w:szCs w:val="24"/>
              </w:rPr>
            </w:pPr>
          </w:p>
          <w:p w:rsidR="00AD18E4" w:rsidRPr="00FF19D0" w:rsidRDefault="00B5744E" w:rsidP="00125ADD">
            <w:pPr>
              <w:widowControl w:val="0"/>
              <w:rPr>
                <w:szCs w:val="24"/>
              </w:rPr>
            </w:pPr>
            <w:r w:rsidRPr="00FF19D0">
              <w:rPr>
                <w:b/>
                <w:szCs w:val="24"/>
              </w:rPr>
              <w:t>IN THE MATTER OF</w:t>
            </w:r>
          </w:p>
          <w:p w:rsidR="00AD18E4" w:rsidRPr="00FF19D0" w:rsidRDefault="00B5744E" w:rsidP="00125ADD">
            <w:pPr>
              <w:widowControl w:val="0"/>
              <w:rPr>
                <w:b/>
                <w:szCs w:val="24"/>
              </w:rPr>
            </w:pPr>
            <w:r w:rsidRPr="00FF19D0">
              <w:rPr>
                <w:b/>
                <w:szCs w:val="24"/>
              </w:rPr>
              <w:t>THE APPLICANT</w:t>
            </w:r>
          </w:p>
          <w:p w:rsidR="00AD18E4" w:rsidRPr="00FF19D0" w:rsidRDefault="00AD18E4" w:rsidP="00125ADD">
            <w:pPr>
              <w:widowControl w:val="0"/>
              <w:spacing w:before="240"/>
              <w:ind w:left="720"/>
              <w:outlineLvl w:val="2"/>
              <w:rPr>
                <w:rFonts w:eastAsia="Times New Roman"/>
                <w:bCs/>
                <w:szCs w:val="24"/>
              </w:rPr>
            </w:pPr>
          </w:p>
          <w:p w:rsidR="00DA1065" w:rsidRPr="00FF19D0" w:rsidRDefault="00DA1065" w:rsidP="00125ADD">
            <w:pPr>
              <w:widowControl w:val="0"/>
              <w:ind w:right="-1054"/>
              <w:rPr>
                <w:rFonts w:eastAsia="Times New Roman"/>
                <w:bCs/>
                <w:szCs w:val="24"/>
              </w:rPr>
            </w:pPr>
          </w:p>
        </w:tc>
        <w:tc>
          <w:tcPr>
            <w:tcW w:w="6345" w:type="dxa"/>
          </w:tcPr>
          <w:p w:rsidR="00CC5554" w:rsidRPr="00FF19D0" w:rsidRDefault="00CC5554" w:rsidP="00125ADD">
            <w:pPr>
              <w:widowControl w:val="0"/>
              <w:rPr>
                <w:szCs w:val="24"/>
              </w:rPr>
            </w:pPr>
          </w:p>
          <w:p w:rsidR="00AD18E4" w:rsidRPr="00FF19D0" w:rsidRDefault="00FD45A8" w:rsidP="00125ADD">
            <w:pPr>
              <w:widowControl w:val="0"/>
              <w:rPr>
                <w:szCs w:val="24"/>
              </w:rPr>
            </w:pPr>
            <w:r w:rsidRPr="00FF19D0">
              <w:rPr>
                <w:szCs w:val="24"/>
              </w:rPr>
              <w:t xml:space="preserve">Odisha Power Generation Corporation Ltd. (OPGC Ltd.), </w:t>
            </w:r>
          </w:p>
          <w:p w:rsidR="00AD18E4" w:rsidRPr="00FF19D0" w:rsidRDefault="00FD45A8" w:rsidP="00125ADD">
            <w:pPr>
              <w:widowControl w:val="0"/>
              <w:rPr>
                <w:szCs w:val="24"/>
              </w:rPr>
            </w:pPr>
            <w:r w:rsidRPr="00FF19D0">
              <w:rPr>
                <w:szCs w:val="24"/>
              </w:rPr>
              <w:t>Zone-A, 7</w:t>
            </w:r>
            <w:r w:rsidRPr="00FF19D0">
              <w:rPr>
                <w:szCs w:val="24"/>
                <w:vertAlign w:val="superscript"/>
              </w:rPr>
              <w:t>th</w:t>
            </w:r>
            <w:r w:rsidRPr="00FF19D0">
              <w:rPr>
                <w:szCs w:val="24"/>
              </w:rPr>
              <w:t xml:space="preserve"> Floor, Fortune Towers, Chandrasekharpur, Bhubaneswar-751023, Odisha, India</w:t>
            </w:r>
            <w:r w:rsidR="00B5744E" w:rsidRPr="00FF19D0">
              <w:rPr>
                <w:szCs w:val="24"/>
              </w:rPr>
              <w:t>(Petitioner)</w:t>
            </w:r>
          </w:p>
          <w:p w:rsidR="00C96DB4" w:rsidRPr="00FF19D0" w:rsidRDefault="00C96DB4" w:rsidP="00C96DB4">
            <w:pPr>
              <w:widowControl w:val="0"/>
              <w:ind w:right="-1054"/>
              <w:rPr>
                <w:szCs w:val="24"/>
              </w:rPr>
            </w:pPr>
          </w:p>
        </w:tc>
      </w:tr>
    </w:tbl>
    <w:p w:rsidR="00AD18E4" w:rsidRPr="00F972D7" w:rsidRDefault="00FE10E4" w:rsidP="00125ADD">
      <w:pPr>
        <w:widowControl w:val="0"/>
        <w:rPr>
          <w:szCs w:val="24"/>
        </w:rPr>
      </w:pPr>
      <w:r w:rsidRPr="00F972D7">
        <w:rPr>
          <w:b/>
          <w:szCs w:val="24"/>
        </w:rPr>
        <w:t xml:space="preserve">ODISHA POWER GENERATION CORPORATION </w:t>
      </w:r>
      <w:r w:rsidR="00B5744E" w:rsidRPr="00F972D7">
        <w:rPr>
          <w:b/>
          <w:szCs w:val="24"/>
        </w:rPr>
        <w:t>LIMITED (“The Petitioner”) RESPECTFULLY SUBMITS AS FOLLOWS:</w:t>
      </w:r>
    </w:p>
    <w:p w:rsidR="00967531" w:rsidRPr="00F972D7" w:rsidRDefault="00967531" w:rsidP="00125ADD">
      <w:pPr>
        <w:widowControl w:val="0"/>
        <w:rPr>
          <w:szCs w:val="24"/>
        </w:rPr>
      </w:pPr>
    </w:p>
    <w:p w:rsidR="00AC01D7" w:rsidRPr="00F972D7" w:rsidRDefault="00AC01D7" w:rsidP="00125ADD">
      <w:pPr>
        <w:pStyle w:val="Heading2"/>
        <w:numPr>
          <w:ilvl w:val="0"/>
          <w:numId w:val="0"/>
        </w:numPr>
      </w:pPr>
      <w:r w:rsidRPr="00F972D7">
        <w:t>Odisha Power Generation Corporation Limited (hereinafter referred as “OPGC” or “the Petitioner”) is a company incorporated under the Companies Act, 1956 and having its registered office at Zone-A, 7</w:t>
      </w:r>
      <w:r w:rsidRPr="00F972D7">
        <w:rPr>
          <w:vertAlign w:val="superscript"/>
        </w:rPr>
        <w:t>th</w:t>
      </w:r>
      <w:r w:rsidRPr="00F972D7">
        <w:t xml:space="preserve"> floor, Fortune Towers, Chandrasekharpur, Bhubaneswar, Odisha-751023.  </w:t>
      </w:r>
    </w:p>
    <w:p w:rsidR="00125ADD" w:rsidRPr="00F972D7" w:rsidRDefault="00125ADD" w:rsidP="00125ADD">
      <w:pPr>
        <w:widowControl w:val="0"/>
        <w:rPr>
          <w:lang w:val="en-GB"/>
        </w:rPr>
      </w:pPr>
    </w:p>
    <w:p w:rsidR="00AC01D7" w:rsidRDefault="00AC01D7" w:rsidP="00125ADD">
      <w:pPr>
        <w:pStyle w:val="Heading2"/>
        <w:numPr>
          <w:ilvl w:val="0"/>
          <w:numId w:val="0"/>
        </w:numPr>
      </w:pPr>
      <w:r w:rsidRPr="00F972D7">
        <w:t>GRIDCO Limited (“GRIDCO”) had entered into Bulk Power Supply Agreement (“PPA”) with OPGC dated August 13, 1996, for purchase of power from its Generating Units 1 &amp; 2, having capacity of 420 MW (210 MW x 2)</w:t>
      </w:r>
      <w:r w:rsidR="00E93535">
        <w:t xml:space="preserve"> </w:t>
      </w:r>
      <w:r w:rsidR="00132230" w:rsidRPr="00F972D7">
        <w:t>of IB Thermal Power Station</w:t>
      </w:r>
      <w:r w:rsidRPr="00F972D7">
        <w:t>. The said PPA came into force from January 1, 1995 and was approved by Government of Odisha</w:t>
      </w:r>
      <w:r w:rsidR="0010000D">
        <w:t xml:space="preserve"> (“GoO”)</w:t>
      </w:r>
      <w:r w:rsidRPr="00F972D7">
        <w:t xml:space="preserve"> in exercise of its power under Section 43A of the Electricity (Supply) Act, 1948.</w:t>
      </w:r>
    </w:p>
    <w:p w:rsidR="00A07775" w:rsidRPr="00A07775" w:rsidRDefault="00A07775" w:rsidP="00A07775">
      <w:pPr>
        <w:rPr>
          <w:lang w:val="en-GB"/>
        </w:rPr>
      </w:pPr>
    </w:p>
    <w:p w:rsidR="00AC01D7" w:rsidRPr="00F972D7" w:rsidRDefault="00AC01D7" w:rsidP="00125ADD">
      <w:pPr>
        <w:pStyle w:val="Heading2"/>
        <w:numPr>
          <w:ilvl w:val="0"/>
          <w:numId w:val="0"/>
        </w:numPr>
      </w:pPr>
      <w:r w:rsidRPr="00F972D7">
        <w:t xml:space="preserve">OPGC, GRIDCO and </w:t>
      </w:r>
      <w:r w:rsidR="0010000D">
        <w:t>GoO</w:t>
      </w:r>
      <w:r w:rsidRPr="00F972D7">
        <w:t xml:space="preserve"> signed a Tripartite Agreement dated October 18, 1998</w:t>
      </w:r>
      <w:r w:rsidR="0010000D">
        <w:t xml:space="preserve"> (“Tripartite Agreement”)</w:t>
      </w:r>
      <w:r w:rsidRPr="00F972D7">
        <w:t xml:space="preserve"> providing certain further amendments to</w:t>
      </w:r>
      <w:r w:rsidR="006A7582">
        <w:t xml:space="preserve"> the</w:t>
      </w:r>
      <w:r w:rsidRPr="00F972D7">
        <w:t xml:space="preserve"> existing PPA and other provisions </w:t>
      </w:r>
      <w:r w:rsidRPr="00F972D7">
        <w:lastRenderedPageBreak/>
        <w:t>including those concerning the establishment of Units 3 &amp; 4 of IB Thermal Power Station by OPGC. Further</w:t>
      </w:r>
      <w:r w:rsidR="006A7582">
        <w:t xml:space="preserve"> an</w:t>
      </w:r>
      <w:r w:rsidRPr="00F972D7">
        <w:t xml:space="preserve"> Escrow and </w:t>
      </w:r>
      <w:r w:rsidR="00DF3533" w:rsidRPr="00F972D7">
        <w:t>Securitization</w:t>
      </w:r>
      <w:r w:rsidR="00E93535">
        <w:t xml:space="preserve"> </w:t>
      </w:r>
      <w:r w:rsidRPr="00F972D7">
        <w:t xml:space="preserve">Agreement dated November 30, 1998 </w:t>
      </w:r>
      <w:r w:rsidR="00132230" w:rsidRPr="00F972D7">
        <w:t xml:space="preserve">was </w:t>
      </w:r>
      <w:r w:rsidRPr="00F972D7">
        <w:t>entered between OPGC, GRIDCO and Union Bank of India.</w:t>
      </w:r>
      <w:r w:rsidR="003148A9">
        <w:t xml:space="preserve"> In 2001,d</w:t>
      </w:r>
      <w:r w:rsidR="003148A9" w:rsidRPr="003148A9">
        <w:t>isputes arose between the parties in respect of the enforcement of the</w:t>
      </w:r>
      <w:r w:rsidR="003148A9">
        <w:t xml:space="preserve"> said</w:t>
      </w:r>
      <w:r w:rsidR="003148A9" w:rsidRPr="003148A9">
        <w:t xml:space="preserve"> Escrow</w:t>
      </w:r>
      <w:r w:rsidR="00E93535">
        <w:t xml:space="preserve"> </w:t>
      </w:r>
      <w:r w:rsidR="003148A9" w:rsidRPr="00F972D7">
        <w:t>and Securitization</w:t>
      </w:r>
      <w:r w:rsidR="003148A9" w:rsidRPr="003148A9">
        <w:t xml:space="preserve"> Agreement.</w:t>
      </w:r>
    </w:p>
    <w:p w:rsidR="0059004D" w:rsidRPr="00F972D7" w:rsidRDefault="0059004D" w:rsidP="00125ADD">
      <w:pPr>
        <w:pStyle w:val="Heading2"/>
        <w:numPr>
          <w:ilvl w:val="0"/>
          <w:numId w:val="0"/>
        </w:numPr>
      </w:pPr>
    </w:p>
    <w:p w:rsidR="002F1F6B" w:rsidRDefault="00AC01D7" w:rsidP="00125ADD">
      <w:pPr>
        <w:pStyle w:val="Heading2"/>
        <w:numPr>
          <w:ilvl w:val="0"/>
          <w:numId w:val="0"/>
        </w:numPr>
      </w:pPr>
      <w:r w:rsidRPr="00F972D7">
        <w:t xml:space="preserve">After resolving the disputes between the parties, OPGC and GRIDCO agreed to amend </w:t>
      </w:r>
      <w:r w:rsidR="009D25B7">
        <w:t xml:space="preserve">the </w:t>
      </w:r>
      <w:r w:rsidRPr="00F972D7">
        <w:t xml:space="preserve">existing PPA and Tripartite </w:t>
      </w:r>
      <w:r w:rsidR="0010000D">
        <w:t>A</w:t>
      </w:r>
      <w:r w:rsidRPr="00F972D7">
        <w:t xml:space="preserve">greement based on </w:t>
      </w:r>
      <w:r w:rsidR="0010000D">
        <w:t>GoO</w:t>
      </w:r>
      <w:r w:rsidRPr="00F972D7">
        <w:t xml:space="preserve"> Notification dated June 21, 2008</w:t>
      </w:r>
      <w:r w:rsidR="00E85887">
        <w:t xml:space="preserve"> (“2008 Notification”).</w:t>
      </w:r>
      <w:r w:rsidR="002F1F6B">
        <w:t xml:space="preserve">The relevant extract of </w:t>
      </w:r>
      <w:r w:rsidR="009D25B7">
        <w:t xml:space="preserve">the </w:t>
      </w:r>
      <w:r w:rsidR="0010000D">
        <w:t>GoO</w:t>
      </w:r>
      <w:r w:rsidR="009D25B7">
        <w:t>’s</w:t>
      </w:r>
      <w:r w:rsidR="002F1F6B" w:rsidRPr="00F972D7">
        <w:t xml:space="preserve"> Notification dated June 21, 2008</w:t>
      </w:r>
      <w:r w:rsidR="002F1F6B">
        <w:t xml:space="preserve"> is as follows:</w:t>
      </w:r>
    </w:p>
    <w:p w:rsidR="002F1F6B" w:rsidRDefault="002F1F6B" w:rsidP="00B4168F">
      <w:pPr>
        <w:rPr>
          <w:lang w:val="en-GB"/>
        </w:rPr>
      </w:pPr>
    </w:p>
    <w:p w:rsidR="002F1F6B" w:rsidRDefault="00B4168F" w:rsidP="00B4168F">
      <w:pPr>
        <w:ind w:left="720"/>
        <w:rPr>
          <w:i/>
          <w:lang w:val="en-GB"/>
        </w:rPr>
      </w:pPr>
      <w:r>
        <w:rPr>
          <w:i/>
          <w:lang w:val="en-GB"/>
        </w:rPr>
        <w:t>“3. After careful consideration of the recommendations of the task force, Government have been pleased to decide as under;</w:t>
      </w:r>
    </w:p>
    <w:p w:rsidR="00ED2EF3" w:rsidRDefault="00B4168F" w:rsidP="00120194">
      <w:pPr>
        <w:ind w:left="993" w:hanging="273"/>
        <w:rPr>
          <w:i/>
          <w:lang w:val="en-GB"/>
        </w:rPr>
      </w:pPr>
      <w:r>
        <w:rPr>
          <w:i/>
          <w:lang w:val="en-GB"/>
        </w:rPr>
        <w:t>(a) In order to avoid any ambiguity with regard to tariff norms and parameters for Units 1 &amp; 2, the provisions for calculation of incentive in the existing PPA shall stand amended to enhance the Plant Load Factor (PLF) from 68.49% to 80%. All other terms and parameters for determination of tariff for Units 1 &amp;2 shall be as per the existing PPA. Suitable amendments will be made in the PPA accordingly including deletion of all reference to change in tariff parameters in future. In other words, all tariff parameters will stand frozen till validity of amended PPA notwithstanding modification in tariff norms by CERC from time to time.</w:t>
      </w:r>
    </w:p>
    <w:p w:rsidR="00ED2EF3" w:rsidRDefault="00ED2EF3" w:rsidP="00120194">
      <w:pPr>
        <w:ind w:left="993" w:hanging="273"/>
        <w:rPr>
          <w:i/>
          <w:lang w:val="en-GB"/>
        </w:rPr>
      </w:pPr>
      <w:r>
        <w:rPr>
          <w:i/>
          <w:lang w:val="en-GB"/>
        </w:rPr>
        <w:t>(b) The amended PPA shall be filed before the OERC for consent/approval.</w:t>
      </w:r>
    </w:p>
    <w:p w:rsidR="00B4168F" w:rsidRDefault="00ED2EF3" w:rsidP="00120194">
      <w:pPr>
        <w:ind w:left="993" w:hanging="273"/>
        <w:rPr>
          <w:i/>
          <w:lang w:val="en-GB"/>
        </w:rPr>
      </w:pPr>
      <w:r>
        <w:rPr>
          <w:i/>
          <w:lang w:val="en-GB"/>
        </w:rPr>
        <w:t>(c) The amended PPA shall be effective with effect from 01.04.2007.</w:t>
      </w:r>
      <w:r w:rsidR="00B4168F">
        <w:rPr>
          <w:i/>
          <w:lang w:val="en-GB"/>
        </w:rPr>
        <w:t>”</w:t>
      </w:r>
    </w:p>
    <w:p w:rsidR="002F1F6B" w:rsidRDefault="002F1F6B" w:rsidP="00B4168F">
      <w:pPr>
        <w:pStyle w:val="Heading2"/>
        <w:numPr>
          <w:ilvl w:val="0"/>
          <w:numId w:val="0"/>
        </w:numPr>
      </w:pPr>
    </w:p>
    <w:p w:rsidR="00AC01D7" w:rsidRPr="00F972D7" w:rsidRDefault="00AC01D7" w:rsidP="00125ADD">
      <w:pPr>
        <w:pStyle w:val="Heading2"/>
        <w:numPr>
          <w:ilvl w:val="0"/>
          <w:numId w:val="0"/>
        </w:numPr>
      </w:pPr>
      <w:r w:rsidRPr="00F972D7">
        <w:t xml:space="preserve">Accordingly, </w:t>
      </w:r>
      <w:r w:rsidR="00866E73" w:rsidRPr="00F972D7">
        <w:t xml:space="preserve">an agreement </w:t>
      </w:r>
      <w:r w:rsidRPr="00F972D7">
        <w:t xml:space="preserve">was signed on September 6, 2012 </w:t>
      </w:r>
      <w:r w:rsidR="00866E73" w:rsidRPr="00F972D7">
        <w:t xml:space="preserve">as Supplemental </w:t>
      </w:r>
      <w:r w:rsidRPr="00F972D7">
        <w:t xml:space="preserve">to the Tripartite </w:t>
      </w:r>
      <w:r w:rsidR="00866E73" w:rsidRPr="00F972D7">
        <w:t xml:space="preserve">Agreement </w:t>
      </w:r>
      <w:r w:rsidRPr="00F972D7">
        <w:t>executed on October 18, 1998</w:t>
      </w:r>
      <w:r w:rsidR="00866E73" w:rsidRPr="00F972D7">
        <w:t xml:space="preserve"> (together called “Amended Tripartite Agreement”)</w:t>
      </w:r>
      <w:r w:rsidRPr="00F972D7">
        <w:t xml:space="preserve">. The </w:t>
      </w:r>
      <w:r w:rsidR="00866E73" w:rsidRPr="00F972D7">
        <w:t xml:space="preserve">Amended </w:t>
      </w:r>
      <w:r w:rsidRPr="00F972D7">
        <w:t xml:space="preserve">Tripartite </w:t>
      </w:r>
      <w:r w:rsidR="00866E73" w:rsidRPr="00F972D7">
        <w:t xml:space="preserve">Agreement </w:t>
      </w:r>
      <w:r w:rsidRPr="00F972D7">
        <w:t>has been made effective from October 12, 2009.</w:t>
      </w:r>
    </w:p>
    <w:p w:rsidR="00AC01D7" w:rsidRPr="00F972D7" w:rsidRDefault="00AC01D7" w:rsidP="00125ADD">
      <w:pPr>
        <w:pStyle w:val="Heading2"/>
        <w:numPr>
          <w:ilvl w:val="0"/>
          <w:numId w:val="0"/>
        </w:numPr>
        <w:ind w:left="576" w:hanging="576"/>
      </w:pPr>
    </w:p>
    <w:p w:rsidR="00AC01D7" w:rsidRPr="00F972D7" w:rsidRDefault="00AC01D7" w:rsidP="00125ADD">
      <w:pPr>
        <w:pStyle w:val="Heading2"/>
        <w:numPr>
          <w:ilvl w:val="0"/>
          <w:numId w:val="0"/>
        </w:numPr>
      </w:pPr>
      <w:r w:rsidRPr="00F972D7">
        <w:t xml:space="preserve">Subsequently, OPGC and GRIDCO signed an amendment </w:t>
      </w:r>
      <w:r w:rsidR="00132230" w:rsidRPr="00F972D7">
        <w:t xml:space="preserve">to </w:t>
      </w:r>
      <w:r w:rsidRPr="00F972D7">
        <w:t xml:space="preserve">existing PPA on December 19, 2012 by amending certain clauses </w:t>
      </w:r>
      <w:r w:rsidR="00866E73" w:rsidRPr="00F972D7">
        <w:t>(together called the “Amended PPA”).</w:t>
      </w:r>
    </w:p>
    <w:p w:rsidR="00125ADD" w:rsidRPr="00F972D7" w:rsidRDefault="00125ADD" w:rsidP="00125ADD">
      <w:pPr>
        <w:pStyle w:val="Heading2"/>
        <w:numPr>
          <w:ilvl w:val="0"/>
          <w:numId w:val="0"/>
        </w:numPr>
      </w:pPr>
    </w:p>
    <w:p w:rsidR="00AC01D7" w:rsidRDefault="00AC01D7" w:rsidP="00125ADD">
      <w:pPr>
        <w:pStyle w:val="Heading2"/>
        <w:numPr>
          <w:ilvl w:val="0"/>
          <w:numId w:val="0"/>
        </w:numPr>
      </w:pPr>
      <w:r w:rsidRPr="00F972D7">
        <w:t xml:space="preserve">Hon’ble </w:t>
      </w:r>
      <w:r w:rsidR="00132230" w:rsidRPr="00F972D7">
        <w:t xml:space="preserve">OERC </w:t>
      </w:r>
      <w:r w:rsidRPr="00F972D7">
        <w:t xml:space="preserve">vide its Order dated April 27, 2015 approved the </w:t>
      </w:r>
      <w:r w:rsidR="00866E73" w:rsidRPr="00F972D7">
        <w:t>Amended</w:t>
      </w:r>
      <w:r w:rsidR="00132230" w:rsidRPr="00F972D7">
        <w:t xml:space="preserve"> PPA </w:t>
      </w:r>
      <w:r w:rsidRPr="00F972D7">
        <w:t>as under</w:t>
      </w:r>
      <w:r w:rsidR="00135A5B">
        <w:t xml:space="preserve"> (with emphasis added by underlining)</w:t>
      </w:r>
      <w:r w:rsidRPr="00F972D7">
        <w:t>:</w:t>
      </w:r>
    </w:p>
    <w:p w:rsidR="00297240" w:rsidRPr="00297240" w:rsidRDefault="00297240" w:rsidP="00297240">
      <w:pPr>
        <w:rPr>
          <w:lang w:val="en-GB"/>
        </w:rPr>
      </w:pPr>
    </w:p>
    <w:p w:rsidR="008C7832" w:rsidRDefault="00AC01D7" w:rsidP="00125ADD">
      <w:pPr>
        <w:pStyle w:val="Verbatium"/>
        <w:ind w:left="576"/>
        <w:rPr>
          <w:i w:val="0"/>
        </w:rPr>
      </w:pPr>
      <w:r w:rsidRPr="00F972D7">
        <w:t>“</w:t>
      </w:r>
      <w:r w:rsidR="008C7832">
        <w:t xml:space="preserve">9. </w:t>
      </w:r>
      <w:r w:rsidR="008C7832">
        <w:rPr>
          <w:color w:val="000000"/>
        </w:rPr>
        <w:t>The above stipulation in PPA provides for settlement of issues if any arise due to</w:t>
      </w:r>
      <w:r w:rsidR="008C7832">
        <w:rPr>
          <w:color w:val="000000"/>
        </w:rPr>
        <w:br/>
        <w:t>implementation of this PPA in a future date the same shall be resolved basing on</w:t>
      </w:r>
      <w:r w:rsidR="008C7832">
        <w:rPr>
          <w:color w:val="000000"/>
        </w:rPr>
        <w:br/>
        <w:t xml:space="preserve">mutual discussion keeping intent and objects of the PPA intact. </w:t>
      </w:r>
      <w:r w:rsidR="008C7832" w:rsidRPr="00135A5B">
        <w:rPr>
          <w:color w:val="000000"/>
          <w:u w:val="single"/>
        </w:rPr>
        <w:t>Therefore, the</w:t>
      </w:r>
      <w:r w:rsidR="008C7832" w:rsidRPr="00135A5B">
        <w:rPr>
          <w:color w:val="000000"/>
          <w:u w:val="single"/>
        </w:rPr>
        <w:br/>
        <w:t>Commission has no objection to approve the PPA including its amendment between</w:t>
      </w:r>
      <w:r w:rsidR="008C7832" w:rsidRPr="00135A5B">
        <w:rPr>
          <w:color w:val="000000"/>
          <w:u w:val="single"/>
        </w:rPr>
        <w:br/>
        <w:t>GRIDCO and OPGC for purchase of power from Unit 1 &amp; 2 of Ib Thermal Power</w:t>
      </w:r>
      <w:r w:rsidR="008C7832" w:rsidRPr="00135A5B">
        <w:rPr>
          <w:color w:val="000000"/>
          <w:u w:val="single"/>
        </w:rPr>
        <w:br/>
        <w:t>Station as it stands now</w:t>
      </w:r>
      <w:r w:rsidR="008C7832">
        <w:rPr>
          <w:color w:val="000000"/>
        </w:rPr>
        <w:t>.</w:t>
      </w:r>
    </w:p>
    <w:p w:rsidR="008C7832" w:rsidRPr="008C7832" w:rsidRDefault="008C7832" w:rsidP="00125ADD">
      <w:pPr>
        <w:pStyle w:val="Verbatium"/>
        <w:ind w:left="576"/>
        <w:rPr>
          <w:i w:val="0"/>
        </w:rPr>
      </w:pPr>
      <w:r>
        <w:rPr>
          <w:i w:val="0"/>
        </w:rPr>
        <w:t>…</w:t>
      </w:r>
    </w:p>
    <w:p w:rsidR="00AC01D7" w:rsidRPr="00F972D7" w:rsidRDefault="00AC01D7" w:rsidP="00125ADD">
      <w:pPr>
        <w:pStyle w:val="Verbatium"/>
        <w:ind w:left="576"/>
        <w:rPr>
          <w:sz w:val="24"/>
          <w:szCs w:val="24"/>
        </w:rPr>
      </w:pPr>
      <w:r w:rsidRPr="00F972D7">
        <w:t>11. Since the power purchase by GRIDCO from Unit 1 &amp; 2 of Ib Thermal Power Station</w:t>
      </w:r>
      <w:r w:rsidR="00E93535">
        <w:t xml:space="preserve"> </w:t>
      </w:r>
      <w:r w:rsidRPr="00F972D7">
        <w:t>has been continuing as per mutual agreement without approved PPA and the</w:t>
      </w:r>
      <w:r w:rsidR="00E93535">
        <w:t xml:space="preserve"> </w:t>
      </w:r>
      <w:r w:rsidRPr="00F972D7">
        <w:t>Commission has approved the same in the ARR of GRIDCO for the concerned year</w:t>
      </w:r>
      <w:r w:rsidR="00E93535">
        <w:t xml:space="preserve"> </w:t>
      </w:r>
      <w:r w:rsidRPr="00F972D7">
        <w:t xml:space="preserve">there is no need to reopen the same as per the above Regulation. </w:t>
      </w:r>
      <w:r w:rsidRPr="00135A5B">
        <w:rPr>
          <w:u w:val="single"/>
        </w:rPr>
        <w:t>The parties should</w:t>
      </w:r>
      <w:r w:rsidR="00E93535">
        <w:rPr>
          <w:u w:val="single"/>
        </w:rPr>
        <w:t xml:space="preserve"> </w:t>
      </w:r>
      <w:r w:rsidRPr="00135A5B">
        <w:rPr>
          <w:u w:val="single"/>
        </w:rPr>
        <w:t>therefore, settle the power purchase process for the period prior to implementation of</w:t>
      </w:r>
      <w:r w:rsidR="00E93535">
        <w:rPr>
          <w:u w:val="single"/>
        </w:rPr>
        <w:t xml:space="preserve"> </w:t>
      </w:r>
      <w:r w:rsidRPr="00135A5B">
        <w:rPr>
          <w:u w:val="single"/>
        </w:rPr>
        <w:t>the above Regulation taking into account the original PPA and its supplemental one as</w:t>
      </w:r>
      <w:r w:rsidR="00E93535">
        <w:rPr>
          <w:u w:val="single"/>
        </w:rPr>
        <w:t xml:space="preserve"> </w:t>
      </w:r>
      <w:r w:rsidRPr="00135A5B">
        <w:rPr>
          <w:u w:val="single"/>
        </w:rPr>
        <w:t>approved by us now.</w:t>
      </w:r>
      <w:r w:rsidRPr="00F972D7">
        <w:t>”</w:t>
      </w:r>
    </w:p>
    <w:p w:rsidR="00125ADD" w:rsidRPr="00F972D7" w:rsidRDefault="00125ADD" w:rsidP="00125ADD">
      <w:pPr>
        <w:pStyle w:val="Heading2"/>
        <w:numPr>
          <w:ilvl w:val="0"/>
          <w:numId w:val="0"/>
        </w:numPr>
      </w:pPr>
    </w:p>
    <w:p w:rsidR="00AC01D7" w:rsidRPr="00F972D7" w:rsidRDefault="00AC01D7" w:rsidP="00125ADD">
      <w:pPr>
        <w:pStyle w:val="Heading2"/>
        <w:numPr>
          <w:ilvl w:val="0"/>
          <w:numId w:val="0"/>
        </w:numPr>
      </w:pPr>
      <w:r w:rsidRPr="00F972D7">
        <w:t xml:space="preserve">Further, Hon’ble </w:t>
      </w:r>
      <w:r w:rsidR="00132230" w:rsidRPr="00F972D7">
        <w:t xml:space="preserve">OERC </w:t>
      </w:r>
      <w:r w:rsidRPr="00F972D7">
        <w:t>in the said Order dated April 27</w:t>
      </w:r>
      <w:r w:rsidR="005B2179" w:rsidRPr="00F972D7">
        <w:t>,</w:t>
      </w:r>
      <w:r w:rsidRPr="00F972D7">
        <w:t xml:space="preserve"> 2015 </w:t>
      </w:r>
      <w:r w:rsidR="009457CC">
        <w:t xml:space="preserve">(Case No. 13/2002) </w:t>
      </w:r>
      <w:r w:rsidRPr="00F972D7">
        <w:t xml:space="preserve">directed OPGC to file an application for determination of Generation Tariff, as per approved </w:t>
      </w:r>
      <w:r w:rsidR="00866E73" w:rsidRPr="00F972D7">
        <w:t xml:space="preserve">Amended </w:t>
      </w:r>
      <w:r w:rsidRPr="00F972D7">
        <w:t xml:space="preserve">PPA, for rest of the control period starting from FY 2016-17 onwards since tariff for FY 2014-15 and FY 2015-16 has already been approved by Hon’ble </w:t>
      </w:r>
      <w:r w:rsidR="00132230" w:rsidRPr="00F972D7">
        <w:t xml:space="preserve">OERC </w:t>
      </w:r>
      <w:r w:rsidRPr="00F972D7">
        <w:t xml:space="preserve">in </w:t>
      </w:r>
      <w:r w:rsidR="009D25B7">
        <w:t>GRIDCO’s</w:t>
      </w:r>
      <w:r w:rsidR="00E93535">
        <w:t xml:space="preserve"> </w:t>
      </w:r>
      <w:r w:rsidRPr="00F972D7">
        <w:t xml:space="preserve">ARR. </w:t>
      </w:r>
      <w:r w:rsidR="00132230" w:rsidRPr="00F972D7">
        <w:t xml:space="preserve">The relevant extract of the Order </w:t>
      </w:r>
      <w:r w:rsidR="00866E73" w:rsidRPr="00F972D7">
        <w:t xml:space="preserve">of the Hon’ble OERC </w:t>
      </w:r>
      <w:r w:rsidR="00132230" w:rsidRPr="00F972D7">
        <w:t>is reproduced below:</w:t>
      </w:r>
    </w:p>
    <w:p w:rsidR="00546B1C" w:rsidRDefault="00546B1C" w:rsidP="00125ADD">
      <w:pPr>
        <w:pStyle w:val="Verbatium"/>
      </w:pPr>
    </w:p>
    <w:p w:rsidR="00DA1065" w:rsidRPr="00F972D7" w:rsidRDefault="00ED7A0B" w:rsidP="00125ADD">
      <w:pPr>
        <w:pStyle w:val="Verbatium"/>
      </w:pPr>
      <w:r w:rsidRPr="00F972D7">
        <w:t>“13. Due to the above provision in the Regulation read with Regulation 7.13 of the same Regulations, OPGC shall make an application before the Commission as per the above approved PPA each year for determination of tariff for the rest of the control period starting from FY 2016-17 onwards since the tariff for the FY 2014-15 and 2015-16 has already been approved by the Commission in the ARR of GRIDCO for the said year basing on the submission of GRIDCO.”</w:t>
      </w:r>
    </w:p>
    <w:p w:rsidR="00D36C61" w:rsidRPr="00F972D7" w:rsidRDefault="00D36C61" w:rsidP="00125ADD">
      <w:pPr>
        <w:pStyle w:val="Heading2"/>
        <w:numPr>
          <w:ilvl w:val="0"/>
          <w:numId w:val="0"/>
        </w:numPr>
      </w:pPr>
    </w:p>
    <w:p w:rsidR="00400827" w:rsidRDefault="00AC01D7" w:rsidP="00125ADD">
      <w:pPr>
        <w:pStyle w:val="Heading2"/>
        <w:numPr>
          <w:ilvl w:val="0"/>
          <w:numId w:val="0"/>
        </w:numPr>
      </w:pPr>
      <w:r w:rsidRPr="00F972D7">
        <w:t xml:space="preserve">In compliance </w:t>
      </w:r>
      <w:r w:rsidR="007A2198">
        <w:t>with</w:t>
      </w:r>
      <w:r w:rsidR="00E93535">
        <w:t xml:space="preserve"> </w:t>
      </w:r>
      <w:r w:rsidRPr="00F972D7">
        <w:t xml:space="preserve">the above directions of the Hon’ble </w:t>
      </w:r>
      <w:r w:rsidR="00BD0FD5" w:rsidRPr="00F972D7">
        <w:t>OERC</w:t>
      </w:r>
      <w:r w:rsidRPr="00F972D7">
        <w:t xml:space="preserve">, OPGC </w:t>
      </w:r>
      <w:r w:rsidR="00491BE4">
        <w:t>filed</w:t>
      </w:r>
      <w:r w:rsidR="00E93535">
        <w:t xml:space="preserve"> </w:t>
      </w:r>
      <w:r w:rsidR="009D25B7">
        <w:t>a</w:t>
      </w:r>
      <w:r w:rsidR="00E93535">
        <w:t xml:space="preserve"> </w:t>
      </w:r>
      <w:r w:rsidR="00311C86">
        <w:t>Petition</w:t>
      </w:r>
      <w:r w:rsidRPr="00F972D7">
        <w:t xml:space="preserve"> for Approval of Generation Tariff for FY 2016-17 under Section 62 and 86 of the Electricity Act, 2003 (“the Act”)</w:t>
      </w:r>
      <w:r w:rsidR="00101183" w:rsidRPr="00F972D7">
        <w:t>, approved Amended PPA</w:t>
      </w:r>
      <w:r w:rsidRPr="00F972D7">
        <w:t xml:space="preserve"> and related provision</w:t>
      </w:r>
      <w:r w:rsidR="009D25B7">
        <w:t>s</w:t>
      </w:r>
      <w:r w:rsidRPr="00F972D7">
        <w:t xml:space="preserve"> of</w:t>
      </w:r>
      <w:r w:rsidR="009D25B7">
        <w:t xml:space="preserve"> the</w:t>
      </w:r>
      <w:r w:rsidRPr="00F972D7">
        <w:t xml:space="preserve"> OERC (Terms and Conditions of Generation Tariff) Regulations, 2014</w:t>
      </w:r>
      <w:r w:rsidR="0010000D">
        <w:t xml:space="preserve"> (“2014 Tariff Regulations”)</w:t>
      </w:r>
      <w:r w:rsidRPr="00F972D7">
        <w:t xml:space="preserve"> and OERC (Conduct of Business) Regulations, 2004, as amended from time to time.</w:t>
      </w:r>
      <w:r w:rsidR="009D25B7">
        <w:t xml:space="preserve"> The</w:t>
      </w:r>
      <w:r w:rsidR="00E93535">
        <w:t xml:space="preserve"> </w:t>
      </w:r>
      <w:r w:rsidR="00311C86">
        <w:t xml:space="preserve">Hon’ble OERC, vide its Order dated March 21, 2016 disposed of the </w:t>
      </w:r>
      <w:r w:rsidR="005E7AF7">
        <w:t xml:space="preserve">above Petition </w:t>
      </w:r>
      <w:r w:rsidR="0059758E">
        <w:t xml:space="preserve">(Case No. 53/2015) </w:t>
      </w:r>
      <w:r w:rsidR="002C2667">
        <w:t xml:space="preserve">approving the Generation Tariff of </w:t>
      </w:r>
      <w:r w:rsidR="006E5A00" w:rsidRPr="00F972D7">
        <w:rPr>
          <w:szCs w:val="24"/>
          <w:lang w:val="en-US"/>
        </w:rPr>
        <w:t>Units 1 &amp; 2 of IB Thermal Power Station</w:t>
      </w:r>
      <w:r w:rsidR="002C2667">
        <w:t xml:space="preserve"> for FY 2016-17</w:t>
      </w:r>
      <w:r w:rsidR="003C53B5">
        <w:t>,</w:t>
      </w:r>
      <w:r w:rsidR="000F668D">
        <w:t xml:space="preserve"> exclusively</w:t>
      </w:r>
      <w:r w:rsidR="003C53B5">
        <w:t xml:space="preserve"> in accordance with the terms and conditions of</w:t>
      </w:r>
      <w:r w:rsidR="0010000D">
        <w:t xml:space="preserve"> the</w:t>
      </w:r>
      <w:r w:rsidR="00E93535">
        <w:t xml:space="preserve"> </w:t>
      </w:r>
      <w:r w:rsidR="000F668D">
        <w:t>2014</w:t>
      </w:r>
      <w:r w:rsidR="0010000D">
        <w:t xml:space="preserve"> Tariff Regulations, and</w:t>
      </w:r>
      <w:r w:rsidR="00E85887">
        <w:t xml:space="preserve"> not the 2008 Notification or the Amended PPA.</w:t>
      </w:r>
    </w:p>
    <w:p w:rsidR="00400827" w:rsidRDefault="00400827" w:rsidP="00125ADD">
      <w:pPr>
        <w:pStyle w:val="Heading2"/>
        <w:numPr>
          <w:ilvl w:val="0"/>
          <w:numId w:val="0"/>
        </w:numPr>
      </w:pPr>
    </w:p>
    <w:p w:rsidR="00400827" w:rsidRDefault="00FE3DE0" w:rsidP="00125ADD">
      <w:pPr>
        <w:pStyle w:val="Heading2"/>
        <w:numPr>
          <w:ilvl w:val="0"/>
          <w:numId w:val="0"/>
        </w:numPr>
      </w:pPr>
      <w:r>
        <w:t xml:space="preserve">OPGC </w:t>
      </w:r>
      <w:r w:rsidR="001E56B0">
        <w:t xml:space="preserve">filed </w:t>
      </w:r>
      <w:r w:rsidR="008754DF">
        <w:t xml:space="preserve">an Appeal </w:t>
      </w:r>
      <w:r>
        <w:t xml:space="preserve">before the Hon’ble Appellate Tribunal </w:t>
      </w:r>
      <w:r w:rsidR="008754DF">
        <w:t xml:space="preserve">(Appeal No. 126 of 2016) </w:t>
      </w:r>
      <w:r>
        <w:t>for Electricity</w:t>
      </w:r>
      <w:r w:rsidR="007A2198">
        <w:t xml:space="preserve"> (“APTEL”)</w:t>
      </w:r>
      <w:r w:rsidR="00E93535">
        <w:t xml:space="preserve"> </w:t>
      </w:r>
      <w:r w:rsidR="007A2198">
        <w:t xml:space="preserve">against </w:t>
      </w:r>
      <w:r w:rsidR="00321AA1">
        <w:t>the</w:t>
      </w:r>
      <w:r w:rsidR="007A2198">
        <w:t xml:space="preserve"> said</w:t>
      </w:r>
      <w:r w:rsidR="00321AA1">
        <w:t xml:space="preserve"> Tariff Order for FY 2016-17</w:t>
      </w:r>
      <w:r w:rsidR="000F668D">
        <w:t xml:space="preserve"> in Case No. 53/2015</w:t>
      </w:r>
      <w:r w:rsidR="00321AA1">
        <w:t>.</w:t>
      </w:r>
      <w:r w:rsidR="00197A5E">
        <w:t xml:space="preserve"> During the pendency of the stated Appeal</w:t>
      </w:r>
      <w:r w:rsidR="00B33928">
        <w:t xml:space="preserve"> before the Hon’ble APTEL</w:t>
      </w:r>
      <w:r w:rsidR="00197A5E">
        <w:t xml:space="preserve">, </w:t>
      </w:r>
      <w:r w:rsidR="00B33928">
        <w:t xml:space="preserve">OPGC filed the </w:t>
      </w:r>
      <w:r w:rsidR="00380973">
        <w:t>Petition for Approval of Generation Tariff for FY 2017-18 and the Hon’ble OERC disposed of the said Petition (Case No. 62/2016) vide its Order dated March 23, 2017 determining the Generation Tariff for FY 201</w:t>
      </w:r>
      <w:r w:rsidR="0024484A">
        <w:t>7</w:t>
      </w:r>
      <w:r w:rsidR="00380973">
        <w:t>-1</w:t>
      </w:r>
      <w:r w:rsidR="0024484A">
        <w:t>8</w:t>
      </w:r>
      <w:r w:rsidR="00637752">
        <w:t xml:space="preserve"> in line with </w:t>
      </w:r>
      <w:r w:rsidR="00686516">
        <w:t>its</w:t>
      </w:r>
      <w:r w:rsidR="00637752">
        <w:t xml:space="preserve"> approach adopted in the tariff determination for FY 2016-17</w:t>
      </w:r>
      <w:r w:rsidR="00380973">
        <w:t xml:space="preserve">. </w:t>
      </w:r>
      <w:r w:rsidR="00197A5E">
        <w:t>Hon’ble APTEL vide its Judgment dated April 6, 2017 in the stated Appeal upheld th</w:t>
      </w:r>
      <w:r w:rsidR="00FD2409">
        <w:t>is Hon’ble</w:t>
      </w:r>
      <w:r w:rsidR="00197A5E">
        <w:t xml:space="preserve"> Commission’s Tariff Order for FY 2016-17. </w:t>
      </w:r>
    </w:p>
    <w:p w:rsidR="00400827" w:rsidRDefault="00400827" w:rsidP="00125ADD">
      <w:pPr>
        <w:pStyle w:val="Heading2"/>
        <w:numPr>
          <w:ilvl w:val="0"/>
          <w:numId w:val="0"/>
        </w:numPr>
      </w:pPr>
    </w:p>
    <w:p w:rsidR="00C12FBA" w:rsidRDefault="00197A5E" w:rsidP="00125ADD">
      <w:pPr>
        <w:pStyle w:val="Heading2"/>
        <w:numPr>
          <w:ilvl w:val="0"/>
          <w:numId w:val="0"/>
        </w:numPr>
      </w:pPr>
      <w:r>
        <w:t xml:space="preserve">Aggrieved by the </w:t>
      </w:r>
      <w:r w:rsidR="00B83D1C">
        <w:t xml:space="preserve">Judgment of the Hon’ble </w:t>
      </w:r>
      <w:r w:rsidR="00401871">
        <w:t>APTEL, OPGC filed Civil Appeal No. 9485 of 2017 before the Hon’ble Supreme Court</w:t>
      </w:r>
      <w:r w:rsidR="00B22F29">
        <w:t xml:space="preserve"> (“SC”).</w:t>
      </w:r>
      <w:r w:rsidR="00401871">
        <w:t xml:space="preserve"> During the pendency of the stated </w:t>
      </w:r>
      <w:r w:rsidR="00662FFE">
        <w:t xml:space="preserve">Civil </w:t>
      </w:r>
      <w:r w:rsidR="00401871">
        <w:t xml:space="preserve">Appeal before the Hon’ble </w:t>
      </w:r>
      <w:r w:rsidR="00E85887">
        <w:t>SC</w:t>
      </w:r>
      <w:r w:rsidR="00401871">
        <w:t>,</w:t>
      </w:r>
      <w:r w:rsidR="00662FFE">
        <w:t xml:space="preserve"> OPGC filed the Petition for Approval of Generation Tariff for FY 2018-19 and the Hon’ble OERC disposed of the said Petition (Case No. 75/2017) vide its Order dated March 22, 2018 determining the Generation Tariff for FY 2018-19 in line with its approach adopted in the tariff determination for FY 2016-17.</w:t>
      </w:r>
      <w:r w:rsidR="000F668D">
        <w:t xml:space="preserve"> The</w:t>
      </w:r>
      <w:r w:rsidR="00400827">
        <w:t xml:space="preserve"> Hon’ble </w:t>
      </w:r>
      <w:r w:rsidR="00B22F29">
        <w:t>SC</w:t>
      </w:r>
      <w:r w:rsidR="00400827">
        <w:t xml:space="preserve"> vide its Judgment dated April </w:t>
      </w:r>
      <w:r w:rsidR="00A51BB0">
        <w:t>19</w:t>
      </w:r>
      <w:r w:rsidR="00400827">
        <w:t>, 201</w:t>
      </w:r>
      <w:r w:rsidR="00A51BB0">
        <w:t>8</w:t>
      </w:r>
      <w:r w:rsidR="00400827">
        <w:t xml:space="preserve"> in the stated Appeal </w:t>
      </w:r>
      <w:r w:rsidR="00A51BB0">
        <w:t>set aside the Tariff Order for FY 2016-17 and remanded the matter to</w:t>
      </w:r>
      <w:r w:rsidR="000F668D">
        <w:t xml:space="preserve"> the</w:t>
      </w:r>
      <w:r w:rsidR="00A51BB0">
        <w:t xml:space="preserve"> Hon’ble OERC for</w:t>
      </w:r>
      <w:r w:rsidR="000F668D">
        <w:t xml:space="preserve"> a</w:t>
      </w:r>
      <w:r w:rsidR="00A51BB0">
        <w:t xml:space="preserve"> fresh </w:t>
      </w:r>
      <w:r w:rsidR="00556F4F">
        <w:t>decisio</w:t>
      </w:r>
      <w:r w:rsidR="00B22F29">
        <w:t xml:space="preserve">n. </w:t>
      </w:r>
      <w:r w:rsidR="00B22F29" w:rsidRPr="00B22F29">
        <w:t>In effect, the</w:t>
      </w:r>
      <w:r w:rsidR="00111A98">
        <w:t xml:space="preserve"> Hon’ble</w:t>
      </w:r>
      <w:r w:rsidR="00B22F29" w:rsidRPr="00B22F29">
        <w:t xml:space="preserve"> SC has held that primarily the</w:t>
      </w:r>
      <w:r w:rsidR="003214FD">
        <w:t xml:space="preserve"> tariff norms under the</w:t>
      </w:r>
      <w:r w:rsidR="00B22F29" w:rsidRPr="00B22F29">
        <w:t xml:space="preserve"> PPA</w:t>
      </w:r>
      <w:r w:rsidR="003214FD">
        <w:t xml:space="preserve"> are to be followed in determining OPGC’s tariff. Further,</w:t>
      </w:r>
      <w:r w:rsidR="00B22F29" w:rsidRPr="00B22F29">
        <w:t xml:space="preserve"> to the extent there are tariff norms not covered by the PPA, the </w:t>
      </w:r>
      <w:r w:rsidR="004C5523">
        <w:t>2014</w:t>
      </w:r>
      <w:r w:rsidR="00B22F29" w:rsidRPr="00B22F29">
        <w:t xml:space="preserve"> Tariff Regulations may be relied upon by the </w:t>
      </w:r>
      <w:r w:rsidR="00B22F29">
        <w:t>OERC to determine OPGC’s tariff.</w:t>
      </w:r>
      <w:r w:rsidR="000F668D">
        <w:t xml:space="preserve"> It is submitted that t</w:t>
      </w:r>
      <w:r w:rsidR="000858AF">
        <w:t>he</w:t>
      </w:r>
      <w:r w:rsidR="000F668D">
        <w:t xml:space="preserve"> effect of the</w:t>
      </w:r>
      <w:r w:rsidR="000858AF">
        <w:t xml:space="preserve"> SC</w:t>
      </w:r>
      <w:r w:rsidR="000F668D">
        <w:t>’s Judgment is</w:t>
      </w:r>
      <w:r w:rsidR="000858AF">
        <w:t xml:space="preserve"> that this arrangement would apply for the entire term of the subsistence of the PPA viz. till </w:t>
      </w:r>
      <w:r w:rsidR="000F668D">
        <w:t>30.06.</w:t>
      </w:r>
      <w:r w:rsidR="000858AF">
        <w:t>2026.</w:t>
      </w:r>
      <w:r w:rsidR="000F668D" w:rsidRPr="00BD7797">
        <w:t>Any contrary interpretation would violate Regulation 4.4 of the 2014 Tariff Regulations.</w:t>
      </w:r>
      <w:r w:rsidR="0050079C">
        <w:t xml:space="preserve"> </w:t>
      </w:r>
      <w:r w:rsidR="006D2980">
        <w:t xml:space="preserve">The relevant extract of the </w:t>
      </w:r>
      <w:r w:rsidR="00D32852">
        <w:t>Judgment of the Hon’ble</w:t>
      </w:r>
      <w:r w:rsidR="00E85887">
        <w:t xml:space="preserve"> SC</w:t>
      </w:r>
      <w:r w:rsidR="00D32852">
        <w:t xml:space="preserve"> is reproduced below:</w:t>
      </w:r>
    </w:p>
    <w:p w:rsidR="008B20FE" w:rsidRPr="008B20FE" w:rsidRDefault="008B20FE" w:rsidP="008B20FE">
      <w:pPr>
        <w:rPr>
          <w:lang w:val="en-GB"/>
        </w:rPr>
      </w:pPr>
    </w:p>
    <w:p w:rsidR="00D32852" w:rsidRDefault="006B22DD" w:rsidP="00C73137">
      <w:pPr>
        <w:pStyle w:val="Verbatium"/>
        <w:rPr>
          <w:lang w:val="en-GB"/>
        </w:rPr>
      </w:pPr>
      <w:r>
        <w:rPr>
          <w:lang w:val="en-GB"/>
        </w:rPr>
        <w:t xml:space="preserve">“6. </w:t>
      </w:r>
      <w:r w:rsidR="004839A2">
        <w:rPr>
          <w:lang w:val="en-GB"/>
        </w:rPr>
        <w:tab/>
      </w:r>
      <w:r>
        <w:rPr>
          <w:lang w:val="en-GB"/>
        </w:rPr>
        <w:t>We are of the view that the Commission vide Order dated 27.04.2015 on the joint application of the parties dated 26.02.2014 rightly fixed the tariff but the view taken in subsequent order dated 21.03.2016 which has been upheld on appeal is unsustainable.</w:t>
      </w:r>
    </w:p>
    <w:p w:rsidR="004839A2" w:rsidRDefault="004839A2" w:rsidP="00C73137">
      <w:pPr>
        <w:pStyle w:val="Verbatium"/>
        <w:rPr>
          <w:lang w:val="en-GB"/>
        </w:rPr>
      </w:pPr>
      <w:r>
        <w:rPr>
          <w:lang w:val="en-GB"/>
        </w:rPr>
        <w:t xml:space="preserve">7. </w:t>
      </w:r>
      <w:r>
        <w:rPr>
          <w:lang w:val="en-GB"/>
        </w:rPr>
        <w:tab/>
        <w:t xml:space="preserve">Accordingly, we set aside the impugned order and remand the matter to the State Commission for fresh decision. </w:t>
      </w:r>
      <w:r w:rsidR="00667E24">
        <w:rPr>
          <w:lang w:val="en-GB"/>
        </w:rPr>
        <w:t>The State Commission may take into account the Notification dated 21.06.2008 for the fixed costs, the PPA for the variable costs specified therein and for other costs not reflected in the PPA, statutory Regulations may be applied.</w:t>
      </w:r>
    </w:p>
    <w:p w:rsidR="00641EE7" w:rsidRDefault="00641EE7" w:rsidP="00C73137">
      <w:pPr>
        <w:pStyle w:val="Verbatium"/>
        <w:rPr>
          <w:lang w:val="en-GB"/>
        </w:rPr>
      </w:pPr>
      <w:r>
        <w:rPr>
          <w:lang w:val="en-GB"/>
        </w:rPr>
        <w:t>8.</w:t>
      </w:r>
      <w:r>
        <w:rPr>
          <w:lang w:val="en-GB"/>
        </w:rPr>
        <w:tab/>
        <w:t>The appeal shall stand disposed of as indicated above.</w:t>
      </w:r>
    </w:p>
    <w:p w:rsidR="00641EE7" w:rsidRPr="00D32852" w:rsidRDefault="00641EE7" w:rsidP="00C73137">
      <w:pPr>
        <w:pStyle w:val="Verbatium"/>
        <w:rPr>
          <w:lang w:val="en-GB"/>
        </w:rPr>
      </w:pPr>
      <w:r>
        <w:rPr>
          <w:lang w:val="en-GB"/>
        </w:rPr>
        <w:t>9.</w:t>
      </w:r>
      <w:r>
        <w:rPr>
          <w:lang w:val="en-GB"/>
        </w:rPr>
        <w:tab/>
        <w:t>The parties may appear before the State Commission for further proceedings on 2.07.2018.</w:t>
      </w:r>
      <w:r w:rsidR="00D61B98">
        <w:rPr>
          <w:lang w:val="en-GB"/>
        </w:rPr>
        <w:t>”</w:t>
      </w:r>
    </w:p>
    <w:p w:rsidR="00C12FBA" w:rsidRPr="00F972D7" w:rsidRDefault="00C12FBA" w:rsidP="008E1BA6">
      <w:pPr>
        <w:pStyle w:val="Heading2"/>
        <w:numPr>
          <w:ilvl w:val="0"/>
          <w:numId w:val="0"/>
        </w:numPr>
      </w:pPr>
    </w:p>
    <w:p w:rsidR="00807115" w:rsidRDefault="00807115" w:rsidP="00B91854">
      <w:pPr>
        <w:widowControl w:val="0"/>
        <w:rPr>
          <w:szCs w:val="24"/>
        </w:rPr>
      </w:pPr>
      <w:r>
        <w:rPr>
          <w:szCs w:val="24"/>
        </w:rPr>
        <w:t xml:space="preserve">Further, </w:t>
      </w:r>
      <w:r w:rsidR="00BB0C6F">
        <w:rPr>
          <w:szCs w:val="24"/>
        </w:rPr>
        <w:t xml:space="preserve">Hon’ble OERC vide its Order dated May </w:t>
      </w:r>
      <w:r w:rsidR="002D103D" w:rsidRPr="00DE009D">
        <w:rPr>
          <w:szCs w:val="24"/>
        </w:rPr>
        <w:t>5</w:t>
      </w:r>
      <w:r w:rsidR="00BB0C6F">
        <w:rPr>
          <w:szCs w:val="24"/>
        </w:rPr>
        <w:t>, 2018 in Case No. 43 of 2017 ruled as under:</w:t>
      </w:r>
    </w:p>
    <w:p w:rsidR="00BB0C6F" w:rsidRPr="00BB0C6F" w:rsidRDefault="00BB0C6F" w:rsidP="00BB0C6F">
      <w:pPr>
        <w:pStyle w:val="Verbatium"/>
        <w:rPr>
          <w:szCs w:val="24"/>
        </w:rPr>
      </w:pPr>
      <w:r w:rsidRPr="00BB0C6F">
        <w:rPr>
          <w:szCs w:val="24"/>
        </w:rPr>
        <w:t xml:space="preserve">“4. Heard the parties at length. As the Hon’ble Supreme Court vide their order dated 19.04.2018 in Civil Appeal No. 9485/2017 has set aside the </w:t>
      </w:r>
      <w:r w:rsidR="003739D6">
        <w:rPr>
          <w:szCs w:val="24"/>
        </w:rPr>
        <w:t xml:space="preserve">order dated 21.03.2016 passed by the Commission and remanded the matter for fresh decision, OPGC Ltd. is required to file fresh application for determination of Generation Tariff of its Unit-I &amp; II within 15 days from date of this order. Basing on the said application of OPGC Ltd., a public notice shall be issued inviting suggestions /objections from the general public for re-determination of generation tariff for FY 2016-17 &amp; FY 2017-18 which </w:t>
      </w:r>
      <w:r w:rsidR="00146EEF">
        <w:rPr>
          <w:szCs w:val="24"/>
        </w:rPr>
        <w:t>would be completed within one month fixing the date of hearing on 02.07.2018.</w:t>
      </w:r>
      <w:r w:rsidR="00DF741A">
        <w:rPr>
          <w:szCs w:val="24"/>
        </w:rPr>
        <w:t>”</w:t>
      </w:r>
    </w:p>
    <w:p w:rsidR="00BB0C6F" w:rsidRDefault="00BB0C6F" w:rsidP="00BB0C6F">
      <w:pPr>
        <w:widowControl w:val="0"/>
        <w:rPr>
          <w:szCs w:val="24"/>
        </w:rPr>
      </w:pPr>
    </w:p>
    <w:p w:rsidR="00FC7E87" w:rsidRDefault="003E6D92" w:rsidP="00B91854">
      <w:pPr>
        <w:widowControl w:val="0"/>
      </w:pPr>
      <w:r>
        <w:t xml:space="preserve">In accordance with the above, OPGC has filed the Petitions for Re-determination of Tariff for FY 2016-17, FY 2017-18 and FY 2018-19 before the Hon’ble OERC on May 25, 2018 considering the original project cost as per the approved Amended PPA. </w:t>
      </w:r>
      <w:r w:rsidR="008310A5">
        <w:t xml:space="preserve">The said Petitions were numbered as Case No. 33 of 2018 and the regulatory proceedings are </w:t>
      </w:r>
      <w:r w:rsidR="001008B7">
        <w:t>in progress</w:t>
      </w:r>
      <w:r w:rsidR="00371714">
        <w:t>.</w:t>
      </w:r>
    </w:p>
    <w:p w:rsidR="00B61E8F" w:rsidRDefault="00B61E8F" w:rsidP="00B91854">
      <w:pPr>
        <w:widowControl w:val="0"/>
      </w:pPr>
    </w:p>
    <w:p w:rsidR="008B3DAF" w:rsidRDefault="008B3DAF" w:rsidP="00B91854">
      <w:pPr>
        <w:widowControl w:val="0"/>
        <w:rPr>
          <w:szCs w:val="24"/>
        </w:rPr>
      </w:pPr>
      <w:r>
        <w:rPr>
          <w:szCs w:val="24"/>
        </w:rPr>
        <w:t>Subsequently, OPGC file</w:t>
      </w:r>
      <w:r w:rsidR="005677D9">
        <w:rPr>
          <w:szCs w:val="24"/>
        </w:rPr>
        <w:t>d a separate Petition</w:t>
      </w:r>
      <w:r w:rsidR="0093200B">
        <w:rPr>
          <w:szCs w:val="24"/>
        </w:rPr>
        <w:t>,</w:t>
      </w:r>
      <w:r w:rsidR="005677D9">
        <w:rPr>
          <w:szCs w:val="24"/>
        </w:rPr>
        <w:t xml:space="preserve"> numbered as Case No. 54 of 2018, for approval of additional capitalisation for FY 2015-16, FY 2016-17, FY 2017-18 and FY 2018-19</w:t>
      </w:r>
      <w:r w:rsidR="00291A60">
        <w:rPr>
          <w:szCs w:val="24"/>
        </w:rPr>
        <w:t xml:space="preserve"> in compliance to the Commission’s directive in the Tariff Order for FY 2018-19 dated March 22, 2018</w:t>
      </w:r>
      <w:r w:rsidR="000A4494">
        <w:rPr>
          <w:szCs w:val="24"/>
        </w:rPr>
        <w:t xml:space="preserve"> and Hon’ble S</w:t>
      </w:r>
      <w:r w:rsidR="006645B1">
        <w:rPr>
          <w:szCs w:val="24"/>
        </w:rPr>
        <w:t xml:space="preserve">upreme </w:t>
      </w:r>
      <w:r w:rsidR="000A4494">
        <w:rPr>
          <w:szCs w:val="24"/>
        </w:rPr>
        <w:t>C</w:t>
      </w:r>
      <w:r w:rsidR="006645B1">
        <w:rPr>
          <w:szCs w:val="24"/>
        </w:rPr>
        <w:t>ourt</w:t>
      </w:r>
      <w:r w:rsidR="000A4494">
        <w:rPr>
          <w:szCs w:val="24"/>
        </w:rPr>
        <w:t xml:space="preserve"> Order in Civil Appeal No.</w:t>
      </w:r>
      <w:r w:rsidR="000A4494">
        <w:t>9485 of 2017 dated 19.04.2018</w:t>
      </w:r>
      <w:r w:rsidR="00291A60">
        <w:rPr>
          <w:szCs w:val="24"/>
        </w:rPr>
        <w:t>.</w:t>
      </w:r>
      <w:r w:rsidR="00BB4E19">
        <w:rPr>
          <w:szCs w:val="24"/>
        </w:rPr>
        <w:t xml:space="preserve"> The regulatory proceedings in th</w:t>
      </w:r>
      <w:r w:rsidR="0093200B">
        <w:rPr>
          <w:szCs w:val="24"/>
        </w:rPr>
        <w:t>is</w:t>
      </w:r>
      <w:r w:rsidR="00BB4E19">
        <w:rPr>
          <w:szCs w:val="24"/>
        </w:rPr>
        <w:t xml:space="preserve"> Case are </w:t>
      </w:r>
      <w:r w:rsidR="001008B7">
        <w:rPr>
          <w:szCs w:val="24"/>
        </w:rPr>
        <w:t>also in progress</w:t>
      </w:r>
      <w:r w:rsidR="00BB4E19">
        <w:rPr>
          <w:szCs w:val="24"/>
        </w:rPr>
        <w:t>.</w:t>
      </w:r>
    </w:p>
    <w:p w:rsidR="00784347" w:rsidRDefault="00784347" w:rsidP="00B91854">
      <w:pPr>
        <w:widowControl w:val="0"/>
        <w:rPr>
          <w:szCs w:val="24"/>
        </w:rPr>
      </w:pPr>
    </w:p>
    <w:p w:rsidR="00C12FBA" w:rsidRDefault="009106C7" w:rsidP="00B91854">
      <w:pPr>
        <w:widowControl w:val="0"/>
        <w:rPr>
          <w:szCs w:val="24"/>
        </w:rPr>
      </w:pPr>
      <w:r>
        <w:rPr>
          <w:szCs w:val="24"/>
        </w:rPr>
        <w:t>In line with the approach adopted in Petitions in Case No. 33 of 2018 and Case No. 54 of 2018, OPGC is filing the instant Petition for approval of Generation Tariff for FY 2019-20</w:t>
      </w:r>
      <w:r w:rsidR="004E7D0E">
        <w:rPr>
          <w:szCs w:val="24"/>
        </w:rPr>
        <w:t>.</w:t>
      </w:r>
    </w:p>
    <w:p w:rsidR="00EB7BB5" w:rsidRPr="00F972D7" w:rsidRDefault="00EB7BB5" w:rsidP="00B91854">
      <w:pPr>
        <w:widowControl w:val="0"/>
        <w:rPr>
          <w:szCs w:val="24"/>
        </w:rPr>
      </w:pPr>
    </w:p>
    <w:p w:rsidR="00AD18E4" w:rsidRPr="00F972D7" w:rsidRDefault="00B5744E" w:rsidP="00125ADD">
      <w:pPr>
        <w:widowControl w:val="0"/>
        <w:rPr>
          <w:szCs w:val="24"/>
          <w:lang w:val="en-US"/>
        </w:rPr>
      </w:pPr>
      <w:r w:rsidRPr="00F972D7">
        <w:rPr>
          <w:b/>
          <w:szCs w:val="24"/>
        </w:rPr>
        <w:t xml:space="preserve">Prayers to the </w:t>
      </w:r>
      <w:r w:rsidR="00CB68B3" w:rsidRPr="00F972D7">
        <w:rPr>
          <w:b/>
          <w:szCs w:val="24"/>
        </w:rPr>
        <w:t>Hon’ble OERC</w:t>
      </w:r>
    </w:p>
    <w:p w:rsidR="00AD18E4" w:rsidRPr="00F972D7" w:rsidRDefault="00967531" w:rsidP="00125ADD">
      <w:pPr>
        <w:pStyle w:val="ListParagraph"/>
        <w:numPr>
          <w:ilvl w:val="0"/>
          <w:numId w:val="0"/>
        </w:numPr>
        <w:ind w:left="90"/>
        <w:rPr>
          <w:szCs w:val="24"/>
        </w:rPr>
      </w:pPr>
      <w:r w:rsidRPr="00F972D7">
        <w:rPr>
          <w:szCs w:val="24"/>
        </w:rPr>
        <w:t>OPGC</w:t>
      </w:r>
      <w:r w:rsidR="0050079C">
        <w:rPr>
          <w:szCs w:val="24"/>
        </w:rPr>
        <w:t xml:space="preserve"> </w:t>
      </w:r>
      <w:r w:rsidR="00B5744E" w:rsidRPr="00F972D7">
        <w:rPr>
          <w:szCs w:val="24"/>
        </w:rPr>
        <w:t xml:space="preserve">respectfully prays that the </w:t>
      </w:r>
      <w:r w:rsidR="00CB68B3" w:rsidRPr="00F972D7">
        <w:rPr>
          <w:szCs w:val="24"/>
        </w:rPr>
        <w:t>Hon’ble OERC</w:t>
      </w:r>
      <w:r w:rsidR="00B5744E" w:rsidRPr="00F972D7">
        <w:rPr>
          <w:szCs w:val="24"/>
        </w:rPr>
        <w:t xml:space="preserve"> may:</w:t>
      </w:r>
    </w:p>
    <w:p w:rsidR="007270B0" w:rsidRPr="00F972D7" w:rsidRDefault="000B541B" w:rsidP="007270B0">
      <w:pPr>
        <w:pStyle w:val="ListParagraph"/>
        <w:numPr>
          <w:ilvl w:val="0"/>
          <w:numId w:val="4"/>
        </w:numPr>
        <w:rPr>
          <w:szCs w:val="24"/>
          <w:lang w:val="en-US"/>
        </w:rPr>
      </w:pPr>
      <w:r w:rsidRPr="00F972D7">
        <w:rPr>
          <w:szCs w:val="24"/>
          <w:lang w:val="en-US"/>
        </w:rPr>
        <w:t>A</w:t>
      </w:r>
      <w:r>
        <w:rPr>
          <w:szCs w:val="24"/>
          <w:lang w:val="en-US"/>
        </w:rPr>
        <w:t>dmit</w:t>
      </w:r>
      <w:r w:rsidR="0050079C">
        <w:rPr>
          <w:szCs w:val="24"/>
          <w:lang w:val="en-US"/>
        </w:rPr>
        <w:t xml:space="preserve"> </w:t>
      </w:r>
      <w:r w:rsidR="00B5744E" w:rsidRPr="00F972D7">
        <w:rPr>
          <w:szCs w:val="24"/>
          <w:lang w:val="en-US"/>
        </w:rPr>
        <w:t>the</w:t>
      </w:r>
      <w:r>
        <w:rPr>
          <w:szCs w:val="24"/>
          <w:lang w:val="en-US"/>
        </w:rPr>
        <w:t xml:space="preserve"> instant</w:t>
      </w:r>
      <w:r w:rsidR="0050079C">
        <w:rPr>
          <w:szCs w:val="24"/>
          <w:lang w:val="en-US"/>
        </w:rPr>
        <w:t xml:space="preserve"> </w:t>
      </w:r>
      <w:r w:rsidR="00617B54">
        <w:rPr>
          <w:szCs w:val="24"/>
          <w:lang w:val="en-US"/>
        </w:rPr>
        <w:t>Petition</w:t>
      </w:r>
      <w:r w:rsidR="00B5744E" w:rsidRPr="00F972D7">
        <w:rPr>
          <w:szCs w:val="24"/>
          <w:lang w:val="en-US"/>
        </w:rPr>
        <w:t>.</w:t>
      </w:r>
    </w:p>
    <w:p w:rsidR="00286D56" w:rsidRDefault="00286D56" w:rsidP="007270B0">
      <w:pPr>
        <w:pStyle w:val="ListParagraph"/>
        <w:numPr>
          <w:ilvl w:val="0"/>
          <w:numId w:val="4"/>
        </w:numPr>
        <w:rPr>
          <w:szCs w:val="24"/>
          <w:lang w:val="en-US"/>
        </w:rPr>
      </w:pPr>
      <w:r w:rsidDel="000A4494">
        <w:rPr>
          <w:szCs w:val="24"/>
          <w:lang w:val="en-US"/>
        </w:rPr>
        <w:t>Approve the additional capitalisation for FY 2019-</w:t>
      </w:r>
      <w:r w:rsidR="00AC25A0" w:rsidDel="000A4494">
        <w:rPr>
          <w:szCs w:val="24"/>
          <w:lang w:val="en-US"/>
        </w:rPr>
        <w:t>2</w:t>
      </w:r>
      <w:r w:rsidDel="000A4494">
        <w:rPr>
          <w:szCs w:val="24"/>
          <w:lang w:val="en-US"/>
        </w:rPr>
        <w:t>0 as claimed in the Petition.</w:t>
      </w:r>
    </w:p>
    <w:p w:rsidR="007270B0" w:rsidRDefault="00B5744E" w:rsidP="007270B0">
      <w:pPr>
        <w:pStyle w:val="ListParagraph"/>
        <w:numPr>
          <w:ilvl w:val="0"/>
          <w:numId w:val="4"/>
        </w:numPr>
        <w:rPr>
          <w:szCs w:val="24"/>
          <w:lang w:val="en-US"/>
        </w:rPr>
      </w:pPr>
      <w:r w:rsidRPr="00F972D7">
        <w:rPr>
          <w:szCs w:val="24"/>
          <w:lang w:val="en-US"/>
        </w:rPr>
        <w:t>Approve the tariff</w:t>
      </w:r>
      <w:r w:rsidR="00101183" w:rsidRPr="00F972D7">
        <w:rPr>
          <w:szCs w:val="24"/>
          <w:lang w:val="en-US"/>
        </w:rPr>
        <w:t>, including annual fixed cost and variable charges,</w:t>
      </w:r>
      <w:r w:rsidR="004E7148">
        <w:rPr>
          <w:szCs w:val="24"/>
          <w:lang w:val="en-US"/>
        </w:rPr>
        <w:t xml:space="preserve"> for</w:t>
      </w:r>
      <w:r w:rsidR="004F7C94" w:rsidRPr="00F972D7">
        <w:rPr>
          <w:szCs w:val="24"/>
          <w:lang w:val="en-US"/>
        </w:rPr>
        <w:t xml:space="preserve"> FY </w:t>
      </w:r>
      <w:r w:rsidR="00C529DF" w:rsidRPr="00F972D7">
        <w:rPr>
          <w:szCs w:val="24"/>
          <w:lang w:val="en-US"/>
        </w:rPr>
        <w:t>201</w:t>
      </w:r>
      <w:r w:rsidR="00FC1C19">
        <w:rPr>
          <w:szCs w:val="24"/>
          <w:lang w:val="en-US"/>
        </w:rPr>
        <w:t>9</w:t>
      </w:r>
      <w:r w:rsidR="004F7C94" w:rsidRPr="00F972D7">
        <w:rPr>
          <w:szCs w:val="24"/>
          <w:lang w:val="en-US"/>
        </w:rPr>
        <w:t>-</w:t>
      </w:r>
      <w:r w:rsidR="00FC1C19">
        <w:rPr>
          <w:szCs w:val="24"/>
          <w:lang w:val="en-US"/>
        </w:rPr>
        <w:t>20</w:t>
      </w:r>
      <w:r w:rsidR="0050079C">
        <w:rPr>
          <w:szCs w:val="24"/>
          <w:lang w:val="en-US"/>
        </w:rPr>
        <w:t xml:space="preserve"> </w:t>
      </w:r>
      <w:r w:rsidR="00E8384A">
        <w:rPr>
          <w:szCs w:val="24"/>
          <w:lang w:val="en-US"/>
        </w:rPr>
        <w:t xml:space="preserve">as </w:t>
      </w:r>
      <w:r w:rsidR="00546864">
        <w:rPr>
          <w:szCs w:val="24"/>
          <w:lang w:val="en-US"/>
        </w:rPr>
        <w:t>claimed in the Petition</w:t>
      </w:r>
      <w:r w:rsidR="009E37B4">
        <w:rPr>
          <w:szCs w:val="24"/>
          <w:lang w:val="en-US"/>
        </w:rPr>
        <w:t>.</w:t>
      </w:r>
    </w:p>
    <w:p w:rsidR="0099083E" w:rsidRDefault="0099083E" w:rsidP="007270B0">
      <w:pPr>
        <w:pStyle w:val="ListParagraph"/>
        <w:numPr>
          <w:ilvl w:val="0"/>
          <w:numId w:val="4"/>
        </w:numPr>
        <w:rPr>
          <w:szCs w:val="24"/>
          <w:lang w:val="en-US"/>
        </w:rPr>
      </w:pPr>
      <w:r>
        <w:rPr>
          <w:szCs w:val="24"/>
          <w:lang w:val="en-US"/>
        </w:rPr>
        <w:t>Approve the other charges for FY 2019-20 as claimed in the Petition.</w:t>
      </w:r>
    </w:p>
    <w:p w:rsidR="0099083E" w:rsidRDefault="0099083E" w:rsidP="007270B0">
      <w:pPr>
        <w:pStyle w:val="ListParagraph"/>
        <w:numPr>
          <w:ilvl w:val="0"/>
          <w:numId w:val="4"/>
        </w:numPr>
        <w:rPr>
          <w:szCs w:val="24"/>
          <w:lang w:val="en-US"/>
        </w:rPr>
      </w:pPr>
      <w:r>
        <w:rPr>
          <w:szCs w:val="24"/>
          <w:lang w:val="en-US"/>
        </w:rPr>
        <w:t xml:space="preserve">Approve the recovery of other charges on actual basis </w:t>
      </w:r>
      <w:r w:rsidR="008A7D0A">
        <w:rPr>
          <w:szCs w:val="24"/>
          <w:lang w:val="en-US"/>
        </w:rPr>
        <w:t>during</w:t>
      </w:r>
      <w:r w:rsidR="0050079C">
        <w:rPr>
          <w:szCs w:val="24"/>
          <w:lang w:val="en-US"/>
        </w:rPr>
        <w:t xml:space="preserve"> </w:t>
      </w:r>
      <w:r w:rsidR="003506CB">
        <w:rPr>
          <w:szCs w:val="24"/>
          <w:lang w:val="en-US"/>
        </w:rPr>
        <w:t>FY 2019-20</w:t>
      </w:r>
      <w:r>
        <w:rPr>
          <w:szCs w:val="24"/>
          <w:lang w:val="en-US"/>
        </w:rPr>
        <w:t>.</w:t>
      </w:r>
    </w:p>
    <w:p w:rsidR="007270B0" w:rsidRPr="00F972D7" w:rsidRDefault="00B5744E" w:rsidP="007270B0">
      <w:pPr>
        <w:pStyle w:val="ListParagraph"/>
        <w:numPr>
          <w:ilvl w:val="0"/>
          <w:numId w:val="4"/>
        </w:numPr>
        <w:rPr>
          <w:szCs w:val="24"/>
          <w:lang w:val="en-US"/>
        </w:rPr>
      </w:pPr>
      <w:r w:rsidRPr="00F972D7">
        <w:rPr>
          <w:szCs w:val="24"/>
          <w:lang w:val="en-US"/>
        </w:rPr>
        <w:t xml:space="preserve">Condone any inadvertent omissions, errors, short comings and permit </w:t>
      </w:r>
      <w:r w:rsidR="00101183" w:rsidRPr="00F972D7">
        <w:rPr>
          <w:szCs w:val="24"/>
          <w:lang w:val="en-US"/>
        </w:rPr>
        <w:t xml:space="preserve">OPGC </w:t>
      </w:r>
      <w:r w:rsidRPr="00F972D7">
        <w:rPr>
          <w:szCs w:val="24"/>
          <w:lang w:val="en-US"/>
        </w:rPr>
        <w:t>to add/ change/ modify/ alter this filing and make further submissions as may be required at a future date; and</w:t>
      </w:r>
    </w:p>
    <w:p w:rsidR="007270B0" w:rsidRPr="00F972D7" w:rsidRDefault="00B5744E" w:rsidP="007270B0">
      <w:pPr>
        <w:pStyle w:val="ListParagraph"/>
        <w:numPr>
          <w:ilvl w:val="0"/>
          <w:numId w:val="4"/>
        </w:numPr>
        <w:rPr>
          <w:szCs w:val="24"/>
          <w:lang w:val="en-US"/>
        </w:rPr>
      </w:pPr>
      <w:r w:rsidRPr="00F972D7">
        <w:rPr>
          <w:szCs w:val="24"/>
          <w:lang w:val="en-US"/>
        </w:rPr>
        <w:t>Pass such other and further Orders as deemed fit and proper in the facts and circumstances of the case.</w:t>
      </w:r>
    </w:p>
    <w:p w:rsidR="00AD18E4" w:rsidRPr="00F972D7" w:rsidRDefault="00AD18E4" w:rsidP="00125ADD">
      <w:pPr>
        <w:widowControl w:val="0"/>
        <w:rPr>
          <w:szCs w:val="24"/>
          <w:lang w:val="en-US"/>
        </w:rPr>
      </w:pPr>
    </w:p>
    <w:p w:rsidR="002C43E7" w:rsidRPr="00F972D7" w:rsidRDefault="002C43E7" w:rsidP="00125ADD">
      <w:pPr>
        <w:widowControl w:val="0"/>
        <w:jc w:val="right"/>
        <w:rPr>
          <w:szCs w:val="24"/>
        </w:rPr>
      </w:pPr>
    </w:p>
    <w:p w:rsidR="00AD18E4" w:rsidRPr="00F972D7" w:rsidRDefault="00B5744E" w:rsidP="00125ADD">
      <w:pPr>
        <w:widowControl w:val="0"/>
        <w:jc w:val="right"/>
        <w:rPr>
          <w:szCs w:val="24"/>
        </w:rPr>
      </w:pPr>
      <w:r w:rsidRPr="00F972D7">
        <w:rPr>
          <w:szCs w:val="24"/>
        </w:rPr>
        <w:t>Petitioner</w:t>
      </w:r>
    </w:p>
    <w:p w:rsidR="00AD18E4" w:rsidRPr="00F972D7" w:rsidRDefault="00AD18E4" w:rsidP="00125ADD">
      <w:pPr>
        <w:widowControl w:val="0"/>
        <w:jc w:val="right"/>
        <w:rPr>
          <w:szCs w:val="24"/>
        </w:rPr>
      </w:pPr>
    </w:p>
    <w:p w:rsidR="00AD18E4" w:rsidRPr="00F972D7" w:rsidRDefault="00B5744E" w:rsidP="00125ADD">
      <w:pPr>
        <w:widowControl w:val="0"/>
        <w:rPr>
          <w:szCs w:val="24"/>
        </w:rPr>
      </w:pPr>
      <w:r w:rsidRPr="00F972D7">
        <w:rPr>
          <w:szCs w:val="24"/>
        </w:rPr>
        <w:tab/>
      </w:r>
      <w:r w:rsidR="00967531" w:rsidRPr="00F972D7">
        <w:rPr>
          <w:szCs w:val="24"/>
        </w:rPr>
        <w:t>Bhubaneshwar</w:t>
      </w:r>
    </w:p>
    <w:p w:rsidR="00AD18E4" w:rsidRPr="00F972D7" w:rsidRDefault="00B5744E" w:rsidP="00125ADD">
      <w:pPr>
        <w:widowControl w:val="0"/>
        <w:rPr>
          <w:b/>
          <w:szCs w:val="24"/>
        </w:rPr>
      </w:pPr>
      <w:r w:rsidRPr="00F972D7">
        <w:rPr>
          <w:szCs w:val="24"/>
        </w:rPr>
        <w:tab/>
      </w:r>
      <w:r w:rsidR="00312BD0">
        <w:rPr>
          <w:szCs w:val="24"/>
        </w:rPr>
        <w:t xml:space="preserve">November </w:t>
      </w:r>
      <w:r w:rsidR="000A4494">
        <w:rPr>
          <w:szCs w:val="24"/>
        </w:rPr>
        <w:t>2</w:t>
      </w:r>
      <w:r w:rsidR="0050079C">
        <w:rPr>
          <w:szCs w:val="24"/>
        </w:rPr>
        <w:t>8</w:t>
      </w:r>
      <w:r w:rsidR="002C43E7" w:rsidRPr="00F972D7">
        <w:rPr>
          <w:szCs w:val="24"/>
        </w:rPr>
        <w:t xml:space="preserve">, </w:t>
      </w:r>
      <w:r w:rsidR="009E6C9D" w:rsidRPr="00F972D7">
        <w:rPr>
          <w:szCs w:val="24"/>
        </w:rPr>
        <w:t>201</w:t>
      </w:r>
      <w:r w:rsidR="00F800B3">
        <w:rPr>
          <w:szCs w:val="24"/>
        </w:rPr>
        <w:t>8</w:t>
      </w:r>
      <w:r w:rsidRPr="00F972D7">
        <w:rPr>
          <w:b/>
          <w:szCs w:val="24"/>
        </w:rPr>
        <w:br w:type="page"/>
      </w:r>
    </w:p>
    <w:p w:rsidR="00AD18E4" w:rsidRPr="00F972D7" w:rsidRDefault="00AD18E4" w:rsidP="00125ADD">
      <w:pPr>
        <w:widowControl w:val="0"/>
        <w:rPr>
          <w:b/>
          <w:szCs w:val="24"/>
        </w:rPr>
      </w:pPr>
    </w:p>
    <w:p w:rsidR="00C02A3B" w:rsidRPr="00CF542A" w:rsidRDefault="00CF542A" w:rsidP="00CF542A">
      <w:pPr>
        <w:jc w:val="center"/>
        <w:rPr>
          <w:b/>
        </w:rPr>
      </w:pPr>
      <w:r w:rsidRPr="00CF542A">
        <w:rPr>
          <w:b/>
        </w:rPr>
        <w:t>TABLE OF CONTENTS</w:t>
      </w:r>
    </w:p>
    <w:p w:rsidR="00C02A3B" w:rsidRDefault="00C02A3B" w:rsidP="00E10527">
      <w:pPr>
        <w:widowControl w:val="0"/>
        <w:rPr>
          <w:szCs w:val="24"/>
        </w:rPr>
      </w:pPr>
    </w:p>
    <w:p w:rsidR="001A14EB" w:rsidRDefault="00687F74">
      <w:pPr>
        <w:pStyle w:val="TOC1"/>
        <w:rPr>
          <w:rFonts w:asciiTheme="minorHAnsi" w:eastAsiaTheme="minorEastAsia" w:hAnsiTheme="minorHAnsi" w:cstheme="minorBidi"/>
          <w:bCs w:val="0"/>
          <w:noProof/>
          <w:lang w:eastAsia="en-IN"/>
        </w:rPr>
      </w:pPr>
      <w:r w:rsidRPr="00687F74">
        <w:fldChar w:fldCharType="begin"/>
      </w:r>
      <w:r w:rsidR="00CF542A">
        <w:instrText xml:space="preserve"> TOC \o "1-1" \h \z \u </w:instrText>
      </w:r>
      <w:r w:rsidRPr="00687F74">
        <w:fldChar w:fldCharType="separate"/>
      </w:r>
      <w:hyperlink w:anchor="_Toc530497529" w:history="1">
        <w:r w:rsidR="001A14EB" w:rsidRPr="00156F0D">
          <w:rPr>
            <w:rStyle w:val="Hyperlink"/>
            <w:noProof/>
          </w:rPr>
          <w:t>1</w:t>
        </w:r>
        <w:r w:rsidR="001A14EB">
          <w:rPr>
            <w:rFonts w:asciiTheme="minorHAnsi" w:eastAsiaTheme="minorEastAsia" w:hAnsiTheme="minorHAnsi" w:cstheme="minorBidi"/>
            <w:bCs w:val="0"/>
            <w:noProof/>
            <w:lang w:eastAsia="en-IN"/>
          </w:rPr>
          <w:tab/>
        </w:r>
        <w:r w:rsidR="001A14EB" w:rsidRPr="00156F0D">
          <w:rPr>
            <w:rStyle w:val="Hyperlink"/>
            <w:noProof/>
          </w:rPr>
          <w:t>Introduction</w:t>
        </w:r>
        <w:r w:rsidR="001A14EB">
          <w:rPr>
            <w:noProof/>
            <w:webHidden/>
          </w:rPr>
          <w:tab/>
        </w:r>
        <w:r>
          <w:rPr>
            <w:noProof/>
            <w:webHidden/>
          </w:rPr>
          <w:fldChar w:fldCharType="begin"/>
        </w:r>
        <w:r w:rsidR="001A14EB">
          <w:rPr>
            <w:noProof/>
            <w:webHidden/>
          </w:rPr>
          <w:instrText xml:space="preserve"> PAGEREF _Toc530497529 \h </w:instrText>
        </w:r>
        <w:r>
          <w:rPr>
            <w:noProof/>
            <w:webHidden/>
          </w:rPr>
        </w:r>
        <w:r>
          <w:rPr>
            <w:noProof/>
            <w:webHidden/>
          </w:rPr>
          <w:fldChar w:fldCharType="separate"/>
        </w:r>
        <w:r w:rsidR="008A42C7">
          <w:rPr>
            <w:noProof/>
            <w:webHidden/>
          </w:rPr>
          <w:t>9</w:t>
        </w:r>
        <w:r>
          <w:rPr>
            <w:noProof/>
            <w:webHidden/>
          </w:rPr>
          <w:fldChar w:fldCharType="end"/>
        </w:r>
      </w:hyperlink>
    </w:p>
    <w:p w:rsidR="001A14EB" w:rsidRDefault="00687F74">
      <w:pPr>
        <w:pStyle w:val="TOC1"/>
        <w:rPr>
          <w:rFonts w:asciiTheme="minorHAnsi" w:eastAsiaTheme="minorEastAsia" w:hAnsiTheme="minorHAnsi" w:cstheme="minorBidi"/>
          <w:bCs w:val="0"/>
          <w:noProof/>
          <w:lang w:eastAsia="en-IN"/>
        </w:rPr>
      </w:pPr>
      <w:hyperlink w:anchor="_Toc530497530" w:history="1">
        <w:r w:rsidR="001A14EB" w:rsidRPr="00156F0D">
          <w:rPr>
            <w:rStyle w:val="Hyperlink"/>
            <w:noProof/>
          </w:rPr>
          <w:t>2</w:t>
        </w:r>
        <w:r w:rsidR="001A14EB">
          <w:rPr>
            <w:rFonts w:asciiTheme="minorHAnsi" w:eastAsiaTheme="minorEastAsia" w:hAnsiTheme="minorHAnsi" w:cstheme="minorBidi"/>
            <w:bCs w:val="0"/>
            <w:noProof/>
            <w:lang w:eastAsia="en-IN"/>
          </w:rPr>
          <w:tab/>
        </w:r>
        <w:r w:rsidR="001A14EB" w:rsidRPr="00156F0D">
          <w:rPr>
            <w:rStyle w:val="Hyperlink"/>
            <w:noProof/>
          </w:rPr>
          <w:t>Overall Approach for Filing Petition</w:t>
        </w:r>
        <w:r w:rsidR="001A14EB">
          <w:rPr>
            <w:noProof/>
            <w:webHidden/>
          </w:rPr>
          <w:tab/>
        </w:r>
        <w:r>
          <w:rPr>
            <w:noProof/>
            <w:webHidden/>
          </w:rPr>
          <w:fldChar w:fldCharType="begin"/>
        </w:r>
        <w:r w:rsidR="001A14EB">
          <w:rPr>
            <w:noProof/>
            <w:webHidden/>
          </w:rPr>
          <w:instrText xml:space="preserve"> PAGEREF _Toc530497530 \h </w:instrText>
        </w:r>
        <w:r>
          <w:rPr>
            <w:noProof/>
            <w:webHidden/>
          </w:rPr>
        </w:r>
        <w:r>
          <w:rPr>
            <w:noProof/>
            <w:webHidden/>
          </w:rPr>
          <w:fldChar w:fldCharType="separate"/>
        </w:r>
        <w:r w:rsidR="008A42C7">
          <w:rPr>
            <w:noProof/>
            <w:webHidden/>
          </w:rPr>
          <w:t>16</w:t>
        </w:r>
        <w:r>
          <w:rPr>
            <w:noProof/>
            <w:webHidden/>
          </w:rPr>
          <w:fldChar w:fldCharType="end"/>
        </w:r>
      </w:hyperlink>
    </w:p>
    <w:p w:rsidR="001A14EB" w:rsidRDefault="00687F74">
      <w:pPr>
        <w:pStyle w:val="TOC1"/>
        <w:rPr>
          <w:rFonts w:asciiTheme="minorHAnsi" w:eastAsiaTheme="minorEastAsia" w:hAnsiTheme="minorHAnsi" w:cstheme="minorBidi"/>
          <w:bCs w:val="0"/>
          <w:noProof/>
          <w:lang w:eastAsia="en-IN"/>
        </w:rPr>
      </w:pPr>
      <w:hyperlink w:anchor="_Toc530497531" w:history="1">
        <w:r w:rsidR="001A14EB" w:rsidRPr="00156F0D">
          <w:rPr>
            <w:rStyle w:val="Hyperlink"/>
            <w:noProof/>
          </w:rPr>
          <w:t>3</w:t>
        </w:r>
        <w:r w:rsidR="001A14EB">
          <w:rPr>
            <w:rFonts w:asciiTheme="minorHAnsi" w:eastAsiaTheme="minorEastAsia" w:hAnsiTheme="minorHAnsi" w:cstheme="minorBidi"/>
            <w:bCs w:val="0"/>
            <w:noProof/>
            <w:lang w:eastAsia="en-IN"/>
          </w:rPr>
          <w:tab/>
        </w:r>
        <w:r w:rsidR="001A14EB" w:rsidRPr="00156F0D">
          <w:rPr>
            <w:rStyle w:val="Hyperlink"/>
            <w:noProof/>
          </w:rPr>
          <w:t>Generation Tariff for FY 2019-20 considering the original project cost</w:t>
        </w:r>
        <w:r w:rsidR="001A14EB">
          <w:rPr>
            <w:noProof/>
            <w:webHidden/>
          </w:rPr>
          <w:tab/>
        </w:r>
        <w:r>
          <w:rPr>
            <w:noProof/>
            <w:webHidden/>
          </w:rPr>
          <w:fldChar w:fldCharType="begin"/>
        </w:r>
        <w:r w:rsidR="001A14EB">
          <w:rPr>
            <w:noProof/>
            <w:webHidden/>
          </w:rPr>
          <w:instrText xml:space="preserve"> PAGEREF _Toc530497531 \h </w:instrText>
        </w:r>
        <w:r>
          <w:rPr>
            <w:noProof/>
            <w:webHidden/>
          </w:rPr>
        </w:r>
        <w:r>
          <w:rPr>
            <w:noProof/>
            <w:webHidden/>
          </w:rPr>
          <w:fldChar w:fldCharType="separate"/>
        </w:r>
        <w:r w:rsidR="008A42C7">
          <w:rPr>
            <w:noProof/>
            <w:webHidden/>
          </w:rPr>
          <w:t>18</w:t>
        </w:r>
        <w:r>
          <w:rPr>
            <w:noProof/>
            <w:webHidden/>
          </w:rPr>
          <w:fldChar w:fldCharType="end"/>
        </w:r>
      </w:hyperlink>
    </w:p>
    <w:p w:rsidR="001A14EB" w:rsidRDefault="00687F74">
      <w:pPr>
        <w:pStyle w:val="TOC1"/>
        <w:rPr>
          <w:rFonts w:asciiTheme="minorHAnsi" w:eastAsiaTheme="minorEastAsia" w:hAnsiTheme="minorHAnsi" w:cstheme="minorBidi"/>
          <w:bCs w:val="0"/>
          <w:noProof/>
          <w:lang w:eastAsia="en-IN"/>
        </w:rPr>
      </w:pPr>
      <w:hyperlink w:anchor="_Toc530497532" w:history="1">
        <w:r w:rsidR="001A14EB" w:rsidRPr="00156F0D">
          <w:rPr>
            <w:rStyle w:val="Hyperlink"/>
            <w:noProof/>
          </w:rPr>
          <w:t>4</w:t>
        </w:r>
        <w:r w:rsidR="001A14EB">
          <w:rPr>
            <w:rFonts w:asciiTheme="minorHAnsi" w:eastAsiaTheme="minorEastAsia" w:hAnsiTheme="minorHAnsi" w:cstheme="minorBidi"/>
            <w:bCs w:val="0"/>
            <w:noProof/>
            <w:lang w:eastAsia="en-IN"/>
          </w:rPr>
          <w:tab/>
        </w:r>
        <w:r w:rsidR="001A14EB" w:rsidRPr="00156F0D">
          <w:rPr>
            <w:rStyle w:val="Hyperlink"/>
            <w:noProof/>
          </w:rPr>
          <w:t>Additional Capitalisation for FY 2019-20</w:t>
        </w:r>
        <w:r w:rsidR="001A14EB">
          <w:rPr>
            <w:noProof/>
            <w:webHidden/>
          </w:rPr>
          <w:tab/>
        </w:r>
        <w:r>
          <w:rPr>
            <w:noProof/>
            <w:webHidden/>
          </w:rPr>
          <w:fldChar w:fldCharType="begin"/>
        </w:r>
        <w:r w:rsidR="001A14EB">
          <w:rPr>
            <w:noProof/>
            <w:webHidden/>
          </w:rPr>
          <w:instrText xml:space="preserve"> PAGEREF _Toc530497532 \h </w:instrText>
        </w:r>
        <w:r>
          <w:rPr>
            <w:noProof/>
            <w:webHidden/>
          </w:rPr>
        </w:r>
        <w:r>
          <w:rPr>
            <w:noProof/>
            <w:webHidden/>
          </w:rPr>
          <w:fldChar w:fldCharType="separate"/>
        </w:r>
        <w:r w:rsidR="008A42C7">
          <w:rPr>
            <w:noProof/>
            <w:webHidden/>
          </w:rPr>
          <w:t>30</w:t>
        </w:r>
        <w:r>
          <w:rPr>
            <w:noProof/>
            <w:webHidden/>
          </w:rPr>
          <w:fldChar w:fldCharType="end"/>
        </w:r>
      </w:hyperlink>
    </w:p>
    <w:p w:rsidR="001A14EB" w:rsidRDefault="00687F74">
      <w:pPr>
        <w:pStyle w:val="TOC1"/>
        <w:rPr>
          <w:rFonts w:asciiTheme="minorHAnsi" w:eastAsiaTheme="minorEastAsia" w:hAnsiTheme="minorHAnsi" w:cstheme="minorBidi"/>
          <w:bCs w:val="0"/>
          <w:noProof/>
          <w:lang w:eastAsia="en-IN"/>
        </w:rPr>
      </w:pPr>
      <w:hyperlink w:anchor="_Toc530497533" w:history="1">
        <w:r w:rsidR="001A14EB" w:rsidRPr="00156F0D">
          <w:rPr>
            <w:rStyle w:val="Hyperlink"/>
            <w:noProof/>
          </w:rPr>
          <w:t>5</w:t>
        </w:r>
        <w:r w:rsidR="001A14EB">
          <w:rPr>
            <w:rFonts w:asciiTheme="minorHAnsi" w:eastAsiaTheme="minorEastAsia" w:hAnsiTheme="minorHAnsi" w:cstheme="minorBidi"/>
            <w:bCs w:val="0"/>
            <w:noProof/>
            <w:lang w:eastAsia="en-IN"/>
          </w:rPr>
          <w:tab/>
        </w:r>
        <w:r w:rsidR="001A14EB" w:rsidRPr="00156F0D">
          <w:rPr>
            <w:rStyle w:val="Hyperlink"/>
            <w:noProof/>
          </w:rPr>
          <w:t>Impact of Additional Capitalisation</w:t>
        </w:r>
        <w:r w:rsidR="001A14EB">
          <w:rPr>
            <w:noProof/>
            <w:webHidden/>
          </w:rPr>
          <w:tab/>
        </w:r>
        <w:r>
          <w:rPr>
            <w:noProof/>
            <w:webHidden/>
          </w:rPr>
          <w:fldChar w:fldCharType="begin"/>
        </w:r>
        <w:r w:rsidR="001A14EB">
          <w:rPr>
            <w:noProof/>
            <w:webHidden/>
          </w:rPr>
          <w:instrText xml:space="preserve"> PAGEREF _Toc530497533 \h </w:instrText>
        </w:r>
        <w:r>
          <w:rPr>
            <w:noProof/>
            <w:webHidden/>
          </w:rPr>
        </w:r>
        <w:r>
          <w:rPr>
            <w:noProof/>
            <w:webHidden/>
          </w:rPr>
          <w:fldChar w:fldCharType="separate"/>
        </w:r>
        <w:r w:rsidR="008A42C7">
          <w:rPr>
            <w:noProof/>
            <w:webHidden/>
          </w:rPr>
          <w:t>32</w:t>
        </w:r>
        <w:r>
          <w:rPr>
            <w:noProof/>
            <w:webHidden/>
          </w:rPr>
          <w:fldChar w:fldCharType="end"/>
        </w:r>
      </w:hyperlink>
    </w:p>
    <w:p w:rsidR="001A14EB" w:rsidRDefault="00687F74">
      <w:pPr>
        <w:pStyle w:val="TOC1"/>
        <w:rPr>
          <w:rFonts w:asciiTheme="minorHAnsi" w:eastAsiaTheme="minorEastAsia" w:hAnsiTheme="minorHAnsi" w:cstheme="minorBidi"/>
          <w:bCs w:val="0"/>
          <w:noProof/>
          <w:lang w:eastAsia="en-IN"/>
        </w:rPr>
      </w:pPr>
      <w:hyperlink w:anchor="_Toc530497534" w:history="1">
        <w:r w:rsidR="001A14EB" w:rsidRPr="00156F0D">
          <w:rPr>
            <w:rStyle w:val="Hyperlink"/>
            <w:noProof/>
          </w:rPr>
          <w:t>6</w:t>
        </w:r>
        <w:r w:rsidR="001A14EB">
          <w:rPr>
            <w:rFonts w:asciiTheme="minorHAnsi" w:eastAsiaTheme="minorEastAsia" w:hAnsiTheme="minorHAnsi" w:cstheme="minorBidi"/>
            <w:bCs w:val="0"/>
            <w:noProof/>
            <w:lang w:eastAsia="en-IN"/>
          </w:rPr>
          <w:tab/>
        </w:r>
        <w:r w:rsidR="001A14EB" w:rsidRPr="00156F0D">
          <w:rPr>
            <w:rStyle w:val="Hyperlink"/>
            <w:noProof/>
          </w:rPr>
          <w:t>Summary of Tariff Proposal for FY 2019-20</w:t>
        </w:r>
        <w:r w:rsidR="001A14EB">
          <w:rPr>
            <w:noProof/>
            <w:webHidden/>
          </w:rPr>
          <w:tab/>
        </w:r>
        <w:r>
          <w:rPr>
            <w:noProof/>
            <w:webHidden/>
          </w:rPr>
          <w:fldChar w:fldCharType="begin"/>
        </w:r>
        <w:r w:rsidR="001A14EB">
          <w:rPr>
            <w:noProof/>
            <w:webHidden/>
          </w:rPr>
          <w:instrText xml:space="preserve"> PAGEREF _Toc530497534 \h </w:instrText>
        </w:r>
        <w:r>
          <w:rPr>
            <w:noProof/>
            <w:webHidden/>
          </w:rPr>
        </w:r>
        <w:r>
          <w:rPr>
            <w:noProof/>
            <w:webHidden/>
          </w:rPr>
          <w:fldChar w:fldCharType="separate"/>
        </w:r>
        <w:r w:rsidR="008A42C7">
          <w:rPr>
            <w:noProof/>
            <w:webHidden/>
          </w:rPr>
          <w:t>38</w:t>
        </w:r>
        <w:r>
          <w:rPr>
            <w:noProof/>
            <w:webHidden/>
          </w:rPr>
          <w:fldChar w:fldCharType="end"/>
        </w:r>
      </w:hyperlink>
    </w:p>
    <w:p w:rsidR="001A14EB" w:rsidRDefault="00687F74">
      <w:pPr>
        <w:pStyle w:val="TOC1"/>
        <w:rPr>
          <w:rFonts w:asciiTheme="minorHAnsi" w:eastAsiaTheme="minorEastAsia" w:hAnsiTheme="minorHAnsi" w:cstheme="minorBidi"/>
          <w:bCs w:val="0"/>
          <w:noProof/>
          <w:lang w:eastAsia="en-IN"/>
        </w:rPr>
      </w:pPr>
      <w:hyperlink w:anchor="_Toc530497535" w:history="1">
        <w:r w:rsidR="001A14EB" w:rsidRPr="00156F0D">
          <w:rPr>
            <w:rStyle w:val="Hyperlink"/>
            <w:noProof/>
          </w:rPr>
          <w:t>7</w:t>
        </w:r>
        <w:r w:rsidR="001A14EB">
          <w:rPr>
            <w:rFonts w:asciiTheme="minorHAnsi" w:eastAsiaTheme="minorEastAsia" w:hAnsiTheme="minorHAnsi" w:cstheme="minorBidi"/>
            <w:bCs w:val="0"/>
            <w:noProof/>
            <w:lang w:eastAsia="en-IN"/>
          </w:rPr>
          <w:tab/>
        </w:r>
        <w:r w:rsidR="001A14EB" w:rsidRPr="00156F0D">
          <w:rPr>
            <w:rStyle w:val="Hyperlink"/>
            <w:noProof/>
          </w:rPr>
          <w:t>Prayers</w:t>
        </w:r>
        <w:r w:rsidR="001A14EB">
          <w:rPr>
            <w:noProof/>
            <w:webHidden/>
          </w:rPr>
          <w:tab/>
        </w:r>
        <w:r>
          <w:rPr>
            <w:noProof/>
            <w:webHidden/>
          </w:rPr>
          <w:fldChar w:fldCharType="begin"/>
        </w:r>
        <w:r w:rsidR="001A14EB">
          <w:rPr>
            <w:noProof/>
            <w:webHidden/>
          </w:rPr>
          <w:instrText xml:space="preserve"> PAGEREF _Toc530497535 \h </w:instrText>
        </w:r>
        <w:r>
          <w:rPr>
            <w:noProof/>
            <w:webHidden/>
          </w:rPr>
        </w:r>
        <w:r>
          <w:rPr>
            <w:noProof/>
            <w:webHidden/>
          </w:rPr>
          <w:fldChar w:fldCharType="separate"/>
        </w:r>
        <w:r w:rsidR="008A42C7">
          <w:rPr>
            <w:noProof/>
            <w:webHidden/>
          </w:rPr>
          <w:t>39</w:t>
        </w:r>
        <w:r>
          <w:rPr>
            <w:noProof/>
            <w:webHidden/>
          </w:rPr>
          <w:fldChar w:fldCharType="end"/>
        </w:r>
      </w:hyperlink>
    </w:p>
    <w:p w:rsidR="00CF542A" w:rsidRPr="00506EFF" w:rsidRDefault="00687F74" w:rsidP="00CF542A">
      <w:r>
        <w:fldChar w:fldCharType="end"/>
      </w:r>
    </w:p>
    <w:p w:rsidR="00407D93" w:rsidRDefault="00407D93" w:rsidP="00125ADD">
      <w:pPr>
        <w:widowControl w:val="0"/>
        <w:spacing w:line="288" w:lineRule="auto"/>
        <w:rPr>
          <w:szCs w:val="24"/>
        </w:rPr>
      </w:pPr>
      <w:bookmarkStart w:id="8" w:name="_Toc336253713"/>
      <w:bookmarkStart w:id="9" w:name="_Toc336254115"/>
      <w:bookmarkStart w:id="10" w:name="_Toc336254515"/>
      <w:bookmarkStart w:id="11" w:name="_Toc336254912"/>
      <w:bookmarkStart w:id="12" w:name="_Toc336255305"/>
      <w:bookmarkStart w:id="13" w:name="_Toc336255699"/>
      <w:bookmarkStart w:id="14" w:name="_Toc336256090"/>
      <w:bookmarkStart w:id="15" w:name="_Toc339053810"/>
      <w:bookmarkEnd w:id="8"/>
      <w:bookmarkEnd w:id="9"/>
      <w:bookmarkEnd w:id="10"/>
      <w:bookmarkEnd w:id="11"/>
      <w:bookmarkEnd w:id="12"/>
      <w:bookmarkEnd w:id="13"/>
      <w:bookmarkEnd w:id="14"/>
    </w:p>
    <w:p w:rsidR="00506EFF" w:rsidRDefault="00506EFF" w:rsidP="00125ADD">
      <w:pPr>
        <w:widowControl w:val="0"/>
        <w:spacing w:line="288" w:lineRule="auto"/>
        <w:rPr>
          <w:szCs w:val="24"/>
        </w:rPr>
      </w:pPr>
    </w:p>
    <w:p w:rsidR="00506EFF" w:rsidRDefault="00506EFF" w:rsidP="00125ADD">
      <w:pPr>
        <w:widowControl w:val="0"/>
        <w:spacing w:line="288" w:lineRule="auto"/>
        <w:rPr>
          <w:szCs w:val="24"/>
        </w:rPr>
      </w:pPr>
    </w:p>
    <w:p w:rsidR="00506EFF" w:rsidRDefault="00506EFF">
      <w:pPr>
        <w:spacing w:line="240" w:lineRule="auto"/>
        <w:rPr>
          <w:b/>
          <w:szCs w:val="24"/>
        </w:rPr>
      </w:pPr>
      <w:r>
        <w:rPr>
          <w:b/>
          <w:szCs w:val="24"/>
        </w:rPr>
        <w:br w:type="page"/>
      </w:r>
    </w:p>
    <w:p w:rsidR="00506EFF" w:rsidRPr="00506EFF" w:rsidRDefault="00506EFF" w:rsidP="00506EFF">
      <w:pPr>
        <w:widowControl w:val="0"/>
        <w:spacing w:line="288" w:lineRule="auto"/>
        <w:jc w:val="center"/>
        <w:rPr>
          <w:b/>
          <w:szCs w:val="24"/>
        </w:rPr>
      </w:pPr>
      <w:r w:rsidRPr="00506EFF">
        <w:rPr>
          <w:b/>
          <w:szCs w:val="24"/>
        </w:rPr>
        <w:t>LIST OF TABLES</w:t>
      </w:r>
    </w:p>
    <w:p w:rsidR="00506EFF" w:rsidRPr="00506EFF" w:rsidRDefault="00506EFF" w:rsidP="00125ADD">
      <w:pPr>
        <w:widowControl w:val="0"/>
        <w:spacing w:line="288" w:lineRule="auto"/>
        <w:rPr>
          <w:rFonts w:eastAsia="Times New Roman"/>
          <w:bCs/>
          <w:kern w:val="32"/>
          <w:szCs w:val="24"/>
          <w:lang w:val="en-GB"/>
        </w:rPr>
      </w:pPr>
    </w:p>
    <w:bookmarkStart w:id="16" w:name="_Toc436552881"/>
    <w:p w:rsidR="001A14EB" w:rsidRDefault="00687F74">
      <w:pPr>
        <w:pStyle w:val="TableofFigures"/>
        <w:tabs>
          <w:tab w:val="right" w:leader="dot" w:pos="9180"/>
        </w:tabs>
        <w:rPr>
          <w:rFonts w:asciiTheme="minorHAnsi" w:eastAsiaTheme="minorEastAsia" w:hAnsiTheme="minorHAnsi" w:cstheme="minorBidi"/>
          <w:noProof/>
          <w:lang w:eastAsia="en-IN"/>
        </w:rPr>
      </w:pPr>
      <w:r w:rsidRPr="00687F74">
        <w:rPr>
          <w:bCs/>
          <w:szCs w:val="24"/>
        </w:rPr>
        <w:fldChar w:fldCharType="begin"/>
      </w:r>
      <w:r w:rsidR="005A4F70">
        <w:rPr>
          <w:bCs/>
          <w:szCs w:val="24"/>
        </w:rPr>
        <w:instrText xml:space="preserve"> TOC \h \z \c "Table" </w:instrText>
      </w:r>
      <w:r w:rsidRPr="00687F74">
        <w:rPr>
          <w:bCs/>
          <w:szCs w:val="24"/>
        </w:rPr>
        <w:fldChar w:fldCharType="separate"/>
      </w:r>
      <w:hyperlink w:anchor="_Toc530497536" w:history="1">
        <w:r w:rsidR="001A14EB" w:rsidRPr="00CF5316">
          <w:rPr>
            <w:rStyle w:val="Hyperlink"/>
            <w:b/>
            <w:noProof/>
          </w:rPr>
          <w:t xml:space="preserve">Table 3.1: </w:t>
        </w:r>
        <w:r w:rsidR="001A14EB" w:rsidRPr="00CF5316">
          <w:rPr>
            <w:rStyle w:val="Hyperlink"/>
            <w:rFonts w:eastAsia="Times New Roman"/>
            <w:b/>
            <w:bCs/>
            <w:noProof/>
            <w:lang w:val="en-US"/>
          </w:rPr>
          <w:t>Return on Equity for FY 2019-20 (Rs. Crore)</w:t>
        </w:r>
        <w:r w:rsidR="001A14EB">
          <w:rPr>
            <w:noProof/>
            <w:webHidden/>
          </w:rPr>
          <w:tab/>
        </w:r>
        <w:r>
          <w:rPr>
            <w:noProof/>
            <w:webHidden/>
          </w:rPr>
          <w:fldChar w:fldCharType="begin"/>
        </w:r>
        <w:r w:rsidR="001A14EB">
          <w:rPr>
            <w:noProof/>
            <w:webHidden/>
          </w:rPr>
          <w:instrText xml:space="preserve"> PAGEREF _Toc530497536 \h </w:instrText>
        </w:r>
        <w:r>
          <w:rPr>
            <w:noProof/>
            <w:webHidden/>
          </w:rPr>
        </w:r>
        <w:r>
          <w:rPr>
            <w:noProof/>
            <w:webHidden/>
          </w:rPr>
          <w:fldChar w:fldCharType="separate"/>
        </w:r>
        <w:r w:rsidR="008A42C7">
          <w:rPr>
            <w:noProof/>
            <w:webHidden/>
          </w:rPr>
          <w:t>19</w:t>
        </w:r>
        <w:r>
          <w:rPr>
            <w:noProof/>
            <w:webHidden/>
          </w:rPr>
          <w:fldChar w:fldCharType="end"/>
        </w:r>
      </w:hyperlink>
    </w:p>
    <w:p w:rsidR="001A14EB" w:rsidRDefault="00687F74">
      <w:pPr>
        <w:pStyle w:val="TableofFigures"/>
        <w:tabs>
          <w:tab w:val="right" w:leader="dot" w:pos="9180"/>
        </w:tabs>
        <w:rPr>
          <w:rFonts w:asciiTheme="minorHAnsi" w:eastAsiaTheme="minorEastAsia" w:hAnsiTheme="minorHAnsi" w:cstheme="minorBidi"/>
          <w:noProof/>
          <w:lang w:eastAsia="en-IN"/>
        </w:rPr>
      </w:pPr>
      <w:hyperlink w:anchor="_Toc530497537" w:history="1">
        <w:r w:rsidR="001A14EB" w:rsidRPr="00CF5316">
          <w:rPr>
            <w:rStyle w:val="Hyperlink"/>
            <w:b/>
            <w:noProof/>
          </w:rPr>
          <w:t xml:space="preserve">Table 3.2: </w:t>
        </w:r>
        <w:r w:rsidR="001A14EB" w:rsidRPr="00CF5316">
          <w:rPr>
            <w:rStyle w:val="Hyperlink"/>
            <w:rFonts w:eastAsia="Times New Roman"/>
            <w:b/>
            <w:bCs/>
            <w:noProof/>
            <w:lang w:val="en-US"/>
          </w:rPr>
          <w:t>O&amp;M Expenses for FY 2019-20 (Rs. Crore)</w:t>
        </w:r>
        <w:r w:rsidR="001A14EB">
          <w:rPr>
            <w:noProof/>
            <w:webHidden/>
          </w:rPr>
          <w:tab/>
        </w:r>
        <w:r>
          <w:rPr>
            <w:noProof/>
            <w:webHidden/>
          </w:rPr>
          <w:fldChar w:fldCharType="begin"/>
        </w:r>
        <w:r w:rsidR="001A14EB">
          <w:rPr>
            <w:noProof/>
            <w:webHidden/>
          </w:rPr>
          <w:instrText xml:space="preserve"> PAGEREF _Toc530497537 \h </w:instrText>
        </w:r>
        <w:r>
          <w:rPr>
            <w:noProof/>
            <w:webHidden/>
          </w:rPr>
        </w:r>
        <w:r>
          <w:rPr>
            <w:noProof/>
            <w:webHidden/>
          </w:rPr>
          <w:fldChar w:fldCharType="separate"/>
        </w:r>
        <w:r w:rsidR="008A42C7">
          <w:rPr>
            <w:noProof/>
            <w:webHidden/>
          </w:rPr>
          <w:t>20</w:t>
        </w:r>
        <w:r>
          <w:rPr>
            <w:noProof/>
            <w:webHidden/>
          </w:rPr>
          <w:fldChar w:fldCharType="end"/>
        </w:r>
      </w:hyperlink>
    </w:p>
    <w:p w:rsidR="001A14EB" w:rsidRDefault="00687F74">
      <w:pPr>
        <w:pStyle w:val="TableofFigures"/>
        <w:tabs>
          <w:tab w:val="right" w:leader="dot" w:pos="9180"/>
        </w:tabs>
        <w:rPr>
          <w:rFonts w:asciiTheme="minorHAnsi" w:eastAsiaTheme="minorEastAsia" w:hAnsiTheme="minorHAnsi" w:cstheme="minorBidi"/>
          <w:noProof/>
          <w:lang w:eastAsia="en-IN"/>
        </w:rPr>
      </w:pPr>
      <w:hyperlink w:anchor="_Toc530497538" w:history="1">
        <w:r w:rsidR="001A14EB" w:rsidRPr="00CF5316">
          <w:rPr>
            <w:rStyle w:val="Hyperlink"/>
            <w:b/>
            <w:noProof/>
          </w:rPr>
          <w:t xml:space="preserve">Table 3.3: </w:t>
        </w:r>
        <w:r w:rsidR="001A14EB" w:rsidRPr="00CF5316">
          <w:rPr>
            <w:rStyle w:val="Hyperlink"/>
            <w:rFonts w:eastAsia="Times New Roman"/>
            <w:b/>
            <w:bCs/>
            <w:noProof/>
            <w:lang w:val="en-US"/>
          </w:rPr>
          <w:t>Interest on Working Capital for FY 2019-20 (Rs. Crore)</w:t>
        </w:r>
        <w:r w:rsidR="001A14EB">
          <w:rPr>
            <w:noProof/>
            <w:webHidden/>
          </w:rPr>
          <w:tab/>
        </w:r>
        <w:r>
          <w:rPr>
            <w:noProof/>
            <w:webHidden/>
          </w:rPr>
          <w:fldChar w:fldCharType="begin"/>
        </w:r>
        <w:r w:rsidR="001A14EB">
          <w:rPr>
            <w:noProof/>
            <w:webHidden/>
          </w:rPr>
          <w:instrText xml:space="preserve"> PAGEREF _Toc530497538 \h </w:instrText>
        </w:r>
        <w:r>
          <w:rPr>
            <w:noProof/>
            <w:webHidden/>
          </w:rPr>
        </w:r>
        <w:r>
          <w:rPr>
            <w:noProof/>
            <w:webHidden/>
          </w:rPr>
          <w:fldChar w:fldCharType="separate"/>
        </w:r>
        <w:r w:rsidR="008A42C7">
          <w:rPr>
            <w:noProof/>
            <w:webHidden/>
          </w:rPr>
          <w:t>22</w:t>
        </w:r>
        <w:r>
          <w:rPr>
            <w:noProof/>
            <w:webHidden/>
          </w:rPr>
          <w:fldChar w:fldCharType="end"/>
        </w:r>
      </w:hyperlink>
    </w:p>
    <w:p w:rsidR="001A14EB" w:rsidRDefault="00687F74">
      <w:pPr>
        <w:pStyle w:val="TableofFigures"/>
        <w:tabs>
          <w:tab w:val="right" w:leader="dot" w:pos="9180"/>
        </w:tabs>
        <w:rPr>
          <w:rFonts w:asciiTheme="minorHAnsi" w:eastAsiaTheme="minorEastAsia" w:hAnsiTheme="minorHAnsi" w:cstheme="minorBidi"/>
          <w:noProof/>
          <w:lang w:eastAsia="en-IN"/>
        </w:rPr>
      </w:pPr>
      <w:hyperlink w:anchor="_Toc530497539" w:history="1">
        <w:r w:rsidR="001A14EB" w:rsidRPr="00CF5316">
          <w:rPr>
            <w:rStyle w:val="Hyperlink"/>
            <w:b/>
            <w:noProof/>
          </w:rPr>
          <w:t xml:space="preserve">Table 3.4: </w:t>
        </w:r>
        <w:r w:rsidR="001A14EB" w:rsidRPr="00CF5316">
          <w:rPr>
            <w:rStyle w:val="Hyperlink"/>
            <w:rFonts w:eastAsia="Times New Roman"/>
            <w:b/>
            <w:bCs/>
            <w:noProof/>
            <w:lang w:val="en-US"/>
          </w:rPr>
          <w:t>Annual Fixed Cost for FY 2019-20 (Rs. Crore)</w:t>
        </w:r>
        <w:r w:rsidR="001A14EB">
          <w:rPr>
            <w:noProof/>
            <w:webHidden/>
          </w:rPr>
          <w:tab/>
        </w:r>
        <w:r>
          <w:rPr>
            <w:noProof/>
            <w:webHidden/>
          </w:rPr>
          <w:fldChar w:fldCharType="begin"/>
        </w:r>
        <w:r w:rsidR="001A14EB">
          <w:rPr>
            <w:noProof/>
            <w:webHidden/>
          </w:rPr>
          <w:instrText xml:space="preserve"> PAGEREF _Toc530497539 \h </w:instrText>
        </w:r>
        <w:r>
          <w:rPr>
            <w:noProof/>
            <w:webHidden/>
          </w:rPr>
        </w:r>
        <w:r>
          <w:rPr>
            <w:noProof/>
            <w:webHidden/>
          </w:rPr>
          <w:fldChar w:fldCharType="separate"/>
        </w:r>
        <w:r w:rsidR="008A42C7">
          <w:rPr>
            <w:noProof/>
            <w:webHidden/>
          </w:rPr>
          <w:t>22</w:t>
        </w:r>
        <w:r>
          <w:rPr>
            <w:noProof/>
            <w:webHidden/>
          </w:rPr>
          <w:fldChar w:fldCharType="end"/>
        </w:r>
      </w:hyperlink>
    </w:p>
    <w:p w:rsidR="001A14EB" w:rsidRDefault="00687F74">
      <w:pPr>
        <w:pStyle w:val="TableofFigures"/>
        <w:tabs>
          <w:tab w:val="right" w:leader="dot" w:pos="9180"/>
        </w:tabs>
        <w:rPr>
          <w:rFonts w:asciiTheme="minorHAnsi" w:eastAsiaTheme="minorEastAsia" w:hAnsiTheme="minorHAnsi" w:cstheme="minorBidi"/>
          <w:noProof/>
          <w:lang w:eastAsia="en-IN"/>
        </w:rPr>
      </w:pPr>
      <w:hyperlink w:anchor="_Toc530497540" w:history="1">
        <w:r w:rsidR="001A14EB" w:rsidRPr="00CF5316">
          <w:rPr>
            <w:rStyle w:val="Hyperlink"/>
            <w:b/>
            <w:noProof/>
          </w:rPr>
          <w:t xml:space="preserve">Table 3.5: </w:t>
        </w:r>
        <w:r w:rsidR="001A14EB" w:rsidRPr="00CF5316">
          <w:rPr>
            <w:rStyle w:val="Hyperlink"/>
            <w:b/>
            <w:bCs/>
            <w:noProof/>
            <w:lang w:val="en-US"/>
          </w:rPr>
          <w:t>Operational Performance Parameters for FY 2019-20</w:t>
        </w:r>
        <w:r w:rsidR="001A14EB">
          <w:rPr>
            <w:noProof/>
            <w:webHidden/>
          </w:rPr>
          <w:tab/>
        </w:r>
        <w:r>
          <w:rPr>
            <w:noProof/>
            <w:webHidden/>
          </w:rPr>
          <w:fldChar w:fldCharType="begin"/>
        </w:r>
        <w:r w:rsidR="001A14EB">
          <w:rPr>
            <w:noProof/>
            <w:webHidden/>
          </w:rPr>
          <w:instrText xml:space="preserve"> PAGEREF _Toc530497540 \h </w:instrText>
        </w:r>
        <w:r>
          <w:rPr>
            <w:noProof/>
            <w:webHidden/>
          </w:rPr>
        </w:r>
        <w:r>
          <w:rPr>
            <w:noProof/>
            <w:webHidden/>
          </w:rPr>
          <w:fldChar w:fldCharType="separate"/>
        </w:r>
        <w:r w:rsidR="008A42C7">
          <w:rPr>
            <w:noProof/>
            <w:webHidden/>
          </w:rPr>
          <w:t>24</w:t>
        </w:r>
        <w:r>
          <w:rPr>
            <w:noProof/>
            <w:webHidden/>
          </w:rPr>
          <w:fldChar w:fldCharType="end"/>
        </w:r>
      </w:hyperlink>
    </w:p>
    <w:p w:rsidR="001A14EB" w:rsidRDefault="00687F74">
      <w:pPr>
        <w:pStyle w:val="TableofFigures"/>
        <w:tabs>
          <w:tab w:val="right" w:leader="dot" w:pos="9180"/>
        </w:tabs>
        <w:rPr>
          <w:rFonts w:asciiTheme="minorHAnsi" w:eastAsiaTheme="minorEastAsia" w:hAnsiTheme="minorHAnsi" w:cstheme="minorBidi"/>
          <w:noProof/>
          <w:lang w:eastAsia="en-IN"/>
        </w:rPr>
      </w:pPr>
      <w:hyperlink w:anchor="_Toc530497541" w:history="1">
        <w:r w:rsidR="001A14EB" w:rsidRPr="00CF5316">
          <w:rPr>
            <w:rStyle w:val="Hyperlink"/>
            <w:b/>
            <w:noProof/>
          </w:rPr>
          <w:t xml:space="preserve">Table 3.6: </w:t>
        </w:r>
        <w:r w:rsidR="001A14EB" w:rsidRPr="00CF5316">
          <w:rPr>
            <w:rStyle w:val="Hyperlink"/>
            <w:b/>
            <w:noProof/>
            <w:lang w:val="en-US"/>
          </w:rPr>
          <w:t>Price and Gross Calorific Value of Coal and Oil</w:t>
        </w:r>
        <w:r w:rsidR="001A14EB">
          <w:rPr>
            <w:noProof/>
            <w:webHidden/>
          </w:rPr>
          <w:tab/>
        </w:r>
        <w:r>
          <w:rPr>
            <w:noProof/>
            <w:webHidden/>
          </w:rPr>
          <w:fldChar w:fldCharType="begin"/>
        </w:r>
        <w:r w:rsidR="001A14EB">
          <w:rPr>
            <w:noProof/>
            <w:webHidden/>
          </w:rPr>
          <w:instrText xml:space="preserve"> PAGEREF _Toc530497541 \h </w:instrText>
        </w:r>
        <w:r>
          <w:rPr>
            <w:noProof/>
            <w:webHidden/>
          </w:rPr>
        </w:r>
        <w:r>
          <w:rPr>
            <w:noProof/>
            <w:webHidden/>
          </w:rPr>
          <w:fldChar w:fldCharType="separate"/>
        </w:r>
        <w:r w:rsidR="008A42C7">
          <w:rPr>
            <w:noProof/>
            <w:webHidden/>
          </w:rPr>
          <w:t>25</w:t>
        </w:r>
        <w:r>
          <w:rPr>
            <w:noProof/>
            <w:webHidden/>
          </w:rPr>
          <w:fldChar w:fldCharType="end"/>
        </w:r>
      </w:hyperlink>
    </w:p>
    <w:p w:rsidR="001A14EB" w:rsidRDefault="00687F74">
      <w:pPr>
        <w:pStyle w:val="TableofFigures"/>
        <w:tabs>
          <w:tab w:val="right" w:leader="dot" w:pos="9180"/>
        </w:tabs>
        <w:rPr>
          <w:rFonts w:asciiTheme="minorHAnsi" w:eastAsiaTheme="minorEastAsia" w:hAnsiTheme="minorHAnsi" w:cstheme="minorBidi"/>
          <w:noProof/>
          <w:lang w:eastAsia="en-IN"/>
        </w:rPr>
      </w:pPr>
      <w:hyperlink w:anchor="_Toc530497542" w:history="1">
        <w:r w:rsidR="001A14EB" w:rsidRPr="00CF5316">
          <w:rPr>
            <w:rStyle w:val="Hyperlink"/>
            <w:b/>
            <w:noProof/>
          </w:rPr>
          <w:t xml:space="preserve">Table 3.7: </w:t>
        </w:r>
        <w:r w:rsidR="001A14EB" w:rsidRPr="00CF5316">
          <w:rPr>
            <w:rStyle w:val="Hyperlink"/>
            <w:b/>
            <w:noProof/>
            <w:lang w:val="en-US"/>
          </w:rPr>
          <w:t>Variable Charges for 2019-20</w:t>
        </w:r>
        <w:r w:rsidR="001A14EB">
          <w:rPr>
            <w:noProof/>
            <w:webHidden/>
          </w:rPr>
          <w:tab/>
        </w:r>
        <w:r>
          <w:rPr>
            <w:noProof/>
            <w:webHidden/>
          </w:rPr>
          <w:fldChar w:fldCharType="begin"/>
        </w:r>
        <w:r w:rsidR="001A14EB">
          <w:rPr>
            <w:noProof/>
            <w:webHidden/>
          </w:rPr>
          <w:instrText xml:space="preserve"> PAGEREF _Toc530497542 \h </w:instrText>
        </w:r>
        <w:r>
          <w:rPr>
            <w:noProof/>
            <w:webHidden/>
          </w:rPr>
        </w:r>
        <w:r>
          <w:rPr>
            <w:noProof/>
            <w:webHidden/>
          </w:rPr>
          <w:fldChar w:fldCharType="separate"/>
        </w:r>
        <w:r w:rsidR="008A42C7">
          <w:rPr>
            <w:noProof/>
            <w:webHidden/>
          </w:rPr>
          <w:t>25</w:t>
        </w:r>
        <w:r>
          <w:rPr>
            <w:noProof/>
            <w:webHidden/>
          </w:rPr>
          <w:fldChar w:fldCharType="end"/>
        </w:r>
      </w:hyperlink>
    </w:p>
    <w:p w:rsidR="001A14EB" w:rsidRDefault="00687F74">
      <w:pPr>
        <w:pStyle w:val="TableofFigures"/>
        <w:tabs>
          <w:tab w:val="right" w:leader="dot" w:pos="9180"/>
        </w:tabs>
        <w:rPr>
          <w:rFonts w:asciiTheme="minorHAnsi" w:eastAsiaTheme="minorEastAsia" w:hAnsiTheme="minorHAnsi" w:cstheme="minorBidi"/>
          <w:noProof/>
          <w:lang w:eastAsia="en-IN"/>
        </w:rPr>
      </w:pPr>
      <w:hyperlink w:anchor="_Toc530497543" w:history="1">
        <w:r w:rsidR="001A14EB" w:rsidRPr="00CF5316">
          <w:rPr>
            <w:rStyle w:val="Hyperlink"/>
            <w:b/>
            <w:noProof/>
          </w:rPr>
          <w:t xml:space="preserve">Table 3.8: </w:t>
        </w:r>
        <w:r w:rsidR="001A14EB" w:rsidRPr="00CF5316">
          <w:rPr>
            <w:rStyle w:val="Hyperlink"/>
            <w:b/>
            <w:noProof/>
            <w:lang w:val="en-US"/>
          </w:rPr>
          <w:t>Other Charges for 2019-20 (Rs. Crore)</w:t>
        </w:r>
        <w:r w:rsidR="001A14EB">
          <w:rPr>
            <w:noProof/>
            <w:webHidden/>
          </w:rPr>
          <w:tab/>
        </w:r>
        <w:r>
          <w:rPr>
            <w:noProof/>
            <w:webHidden/>
          </w:rPr>
          <w:fldChar w:fldCharType="begin"/>
        </w:r>
        <w:r w:rsidR="001A14EB">
          <w:rPr>
            <w:noProof/>
            <w:webHidden/>
          </w:rPr>
          <w:instrText xml:space="preserve"> PAGEREF _Toc530497543 \h </w:instrText>
        </w:r>
        <w:r>
          <w:rPr>
            <w:noProof/>
            <w:webHidden/>
          </w:rPr>
        </w:r>
        <w:r>
          <w:rPr>
            <w:noProof/>
            <w:webHidden/>
          </w:rPr>
          <w:fldChar w:fldCharType="separate"/>
        </w:r>
        <w:r w:rsidR="008A42C7">
          <w:rPr>
            <w:noProof/>
            <w:webHidden/>
          </w:rPr>
          <w:t>28</w:t>
        </w:r>
        <w:r>
          <w:rPr>
            <w:noProof/>
            <w:webHidden/>
          </w:rPr>
          <w:fldChar w:fldCharType="end"/>
        </w:r>
      </w:hyperlink>
    </w:p>
    <w:p w:rsidR="001A14EB" w:rsidRDefault="00687F74">
      <w:pPr>
        <w:pStyle w:val="TableofFigures"/>
        <w:tabs>
          <w:tab w:val="right" w:leader="dot" w:pos="9180"/>
        </w:tabs>
        <w:rPr>
          <w:rFonts w:asciiTheme="minorHAnsi" w:eastAsiaTheme="minorEastAsia" w:hAnsiTheme="minorHAnsi" w:cstheme="minorBidi"/>
          <w:noProof/>
          <w:lang w:eastAsia="en-IN"/>
        </w:rPr>
      </w:pPr>
      <w:hyperlink w:anchor="_Toc530497544" w:history="1">
        <w:r w:rsidR="001A14EB" w:rsidRPr="00CF5316">
          <w:rPr>
            <w:rStyle w:val="Hyperlink"/>
            <w:b/>
            <w:bCs/>
            <w:noProof/>
          </w:rPr>
          <w:t>Table 2: Debt and equity of additional capitalisation for FY 2019-20</w:t>
        </w:r>
        <w:r w:rsidR="001A14EB">
          <w:rPr>
            <w:noProof/>
            <w:webHidden/>
          </w:rPr>
          <w:tab/>
        </w:r>
        <w:r>
          <w:rPr>
            <w:noProof/>
            <w:webHidden/>
          </w:rPr>
          <w:fldChar w:fldCharType="begin"/>
        </w:r>
        <w:r w:rsidR="001A14EB">
          <w:rPr>
            <w:noProof/>
            <w:webHidden/>
          </w:rPr>
          <w:instrText xml:space="preserve"> PAGEREF _Toc530497544 \h </w:instrText>
        </w:r>
        <w:r>
          <w:rPr>
            <w:noProof/>
            <w:webHidden/>
          </w:rPr>
        </w:r>
        <w:r>
          <w:rPr>
            <w:noProof/>
            <w:webHidden/>
          </w:rPr>
          <w:fldChar w:fldCharType="separate"/>
        </w:r>
        <w:r w:rsidR="008A42C7">
          <w:rPr>
            <w:noProof/>
            <w:webHidden/>
          </w:rPr>
          <w:t>33</w:t>
        </w:r>
        <w:r>
          <w:rPr>
            <w:noProof/>
            <w:webHidden/>
          </w:rPr>
          <w:fldChar w:fldCharType="end"/>
        </w:r>
      </w:hyperlink>
    </w:p>
    <w:p w:rsidR="001A14EB" w:rsidRDefault="00687F74">
      <w:pPr>
        <w:pStyle w:val="TableofFigures"/>
        <w:tabs>
          <w:tab w:val="right" w:leader="dot" w:pos="9180"/>
        </w:tabs>
        <w:rPr>
          <w:rFonts w:asciiTheme="minorHAnsi" w:eastAsiaTheme="minorEastAsia" w:hAnsiTheme="minorHAnsi" w:cstheme="minorBidi"/>
          <w:noProof/>
          <w:lang w:eastAsia="en-IN"/>
        </w:rPr>
      </w:pPr>
      <w:hyperlink w:anchor="_Toc530497545" w:history="1">
        <w:r w:rsidR="001A14EB" w:rsidRPr="00CF5316">
          <w:rPr>
            <w:rStyle w:val="Hyperlink"/>
            <w:b/>
            <w:bCs/>
            <w:noProof/>
          </w:rPr>
          <w:t>Table 3: Depreciation corresponding to additional capitalisation (Rs. Crore)</w:t>
        </w:r>
        <w:r w:rsidR="001A14EB">
          <w:rPr>
            <w:noProof/>
            <w:webHidden/>
          </w:rPr>
          <w:tab/>
        </w:r>
        <w:r>
          <w:rPr>
            <w:noProof/>
            <w:webHidden/>
          </w:rPr>
          <w:fldChar w:fldCharType="begin"/>
        </w:r>
        <w:r w:rsidR="001A14EB">
          <w:rPr>
            <w:noProof/>
            <w:webHidden/>
          </w:rPr>
          <w:instrText xml:space="preserve"> PAGEREF _Toc530497545 \h </w:instrText>
        </w:r>
        <w:r>
          <w:rPr>
            <w:noProof/>
            <w:webHidden/>
          </w:rPr>
        </w:r>
        <w:r>
          <w:rPr>
            <w:noProof/>
            <w:webHidden/>
          </w:rPr>
          <w:fldChar w:fldCharType="separate"/>
        </w:r>
        <w:r w:rsidR="008A42C7">
          <w:rPr>
            <w:noProof/>
            <w:webHidden/>
          </w:rPr>
          <w:t>34</w:t>
        </w:r>
        <w:r>
          <w:rPr>
            <w:noProof/>
            <w:webHidden/>
          </w:rPr>
          <w:fldChar w:fldCharType="end"/>
        </w:r>
      </w:hyperlink>
    </w:p>
    <w:p w:rsidR="001A14EB" w:rsidRDefault="00687F74">
      <w:pPr>
        <w:pStyle w:val="TableofFigures"/>
        <w:tabs>
          <w:tab w:val="right" w:leader="dot" w:pos="9180"/>
        </w:tabs>
        <w:rPr>
          <w:rFonts w:asciiTheme="minorHAnsi" w:eastAsiaTheme="minorEastAsia" w:hAnsiTheme="minorHAnsi" w:cstheme="minorBidi"/>
          <w:noProof/>
          <w:lang w:eastAsia="en-IN"/>
        </w:rPr>
      </w:pPr>
      <w:hyperlink w:anchor="_Toc530497546" w:history="1">
        <w:r w:rsidR="001A14EB" w:rsidRPr="00CF5316">
          <w:rPr>
            <w:rStyle w:val="Hyperlink"/>
            <w:b/>
            <w:bCs/>
            <w:noProof/>
          </w:rPr>
          <w:t>Table 4: Return on Equity corresponding to additional capitalisation (Rs. Crore)</w:t>
        </w:r>
        <w:r w:rsidR="001A14EB">
          <w:rPr>
            <w:noProof/>
            <w:webHidden/>
          </w:rPr>
          <w:tab/>
        </w:r>
        <w:r>
          <w:rPr>
            <w:noProof/>
            <w:webHidden/>
          </w:rPr>
          <w:fldChar w:fldCharType="begin"/>
        </w:r>
        <w:r w:rsidR="001A14EB">
          <w:rPr>
            <w:noProof/>
            <w:webHidden/>
          </w:rPr>
          <w:instrText xml:space="preserve"> PAGEREF _Toc530497546 \h </w:instrText>
        </w:r>
        <w:r>
          <w:rPr>
            <w:noProof/>
            <w:webHidden/>
          </w:rPr>
        </w:r>
        <w:r>
          <w:rPr>
            <w:noProof/>
            <w:webHidden/>
          </w:rPr>
          <w:fldChar w:fldCharType="separate"/>
        </w:r>
        <w:r w:rsidR="008A42C7">
          <w:rPr>
            <w:noProof/>
            <w:webHidden/>
          </w:rPr>
          <w:t>34</w:t>
        </w:r>
        <w:r>
          <w:rPr>
            <w:noProof/>
            <w:webHidden/>
          </w:rPr>
          <w:fldChar w:fldCharType="end"/>
        </w:r>
      </w:hyperlink>
    </w:p>
    <w:p w:rsidR="001A14EB" w:rsidRDefault="00687F74">
      <w:pPr>
        <w:pStyle w:val="TableofFigures"/>
        <w:tabs>
          <w:tab w:val="right" w:leader="dot" w:pos="9180"/>
        </w:tabs>
        <w:rPr>
          <w:rFonts w:asciiTheme="minorHAnsi" w:eastAsiaTheme="minorEastAsia" w:hAnsiTheme="minorHAnsi" w:cstheme="minorBidi"/>
          <w:noProof/>
          <w:lang w:eastAsia="en-IN"/>
        </w:rPr>
      </w:pPr>
      <w:hyperlink w:anchor="_Toc530497547" w:history="1">
        <w:r w:rsidR="001A14EB" w:rsidRPr="00CF5316">
          <w:rPr>
            <w:rStyle w:val="Hyperlink"/>
            <w:b/>
            <w:bCs/>
            <w:noProof/>
          </w:rPr>
          <w:t>Table 5: Interest on loan corresponding to additional capitalisation (Rs. Crore)</w:t>
        </w:r>
        <w:r w:rsidR="001A14EB">
          <w:rPr>
            <w:noProof/>
            <w:webHidden/>
          </w:rPr>
          <w:tab/>
        </w:r>
        <w:r>
          <w:rPr>
            <w:noProof/>
            <w:webHidden/>
          </w:rPr>
          <w:fldChar w:fldCharType="begin"/>
        </w:r>
        <w:r w:rsidR="001A14EB">
          <w:rPr>
            <w:noProof/>
            <w:webHidden/>
          </w:rPr>
          <w:instrText xml:space="preserve"> PAGEREF _Toc530497547 \h </w:instrText>
        </w:r>
        <w:r>
          <w:rPr>
            <w:noProof/>
            <w:webHidden/>
          </w:rPr>
        </w:r>
        <w:r>
          <w:rPr>
            <w:noProof/>
            <w:webHidden/>
          </w:rPr>
          <w:fldChar w:fldCharType="separate"/>
        </w:r>
        <w:r w:rsidR="008A42C7">
          <w:rPr>
            <w:noProof/>
            <w:webHidden/>
          </w:rPr>
          <w:t>35</w:t>
        </w:r>
        <w:r>
          <w:rPr>
            <w:noProof/>
            <w:webHidden/>
          </w:rPr>
          <w:fldChar w:fldCharType="end"/>
        </w:r>
      </w:hyperlink>
    </w:p>
    <w:p w:rsidR="001A14EB" w:rsidRDefault="00687F74">
      <w:pPr>
        <w:pStyle w:val="TableofFigures"/>
        <w:tabs>
          <w:tab w:val="right" w:leader="dot" w:pos="9180"/>
        </w:tabs>
        <w:rPr>
          <w:rFonts w:asciiTheme="minorHAnsi" w:eastAsiaTheme="minorEastAsia" w:hAnsiTheme="minorHAnsi" w:cstheme="minorBidi"/>
          <w:noProof/>
          <w:lang w:eastAsia="en-IN"/>
        </w:rPr>
      </w:pPr>
      <w:hyperlink w:anchor="_Toc530497548" w:history="1">
        <w:r w:rsidR="001A14EB" w:rsidRPr="00CF5316">
          <w:rPr>
            <w:rStyle w:val="Hyperlink"/>
            <w:b/>
            <w:bCs/>
            <w:noProof/>
          </w:rPr>
          <w:t>Table 7: Interest on working capital corresponding to additional capitalisation (Rs. Crore)</w:t>
        </w:r>
        <w:r w:rsidR="001A14EB">
          <w:rPr>
            <w:noProof/>
            <w:webHidden/>
          </w:rPr>
          <w:tab/>
        </w:r>
        <w:r>
          <w:rPr>
            <w:noProof/>
            <w:webHidden/>
          </w:rPr>
          <w:fldChar w:fldCharType="begin"/>
        </w:r>
        <w:r w:rsidR="001A14EB">
          <w:rPr>
            <w:noProof/>
            <w:webHidden/>
          </w:rPr>
          <w:instrText xml:space="preserve"> PAGEREF _Toc530497548 \h </w:instrText>
        </w:r>
        <w:r>
          <w:rPr>
            <w:noProof/>
            <w:webHidden/>
          </w:rPr>
        </w:r>
        <w:r>
          <w:rPr>
            <w:noProof/>
            <w:webHidden/>
          </w:rPr>
          <w:fldChar w:fldCharType="separate"/>
        </w:r>
        <w:r w:rsidR="008A42C7">
          <w:rPr>
            <w:noProof/>
            <w:webHidden/>
          </w:rPr>
          <w:t>37</w:t>
        </w:r>
        <w:r>
          <w:rPr>
            <w:noProof/>
            <w:webHidden/>
          </w:rPr>
          <w:fldChar w:fldCharType="end"/>
        </w:r>
      </w:hyperlink>
    </w:p>
    <w:p w:rsidR="001A14EB" w:rsidRDefault="00687F74">
      <w:pPr>
        <w:pStyle w:val="TableofFigures"/>
        <w:tabs>
          <w:tab w:val="right" w:leader="dot" w:pos="9180"/>
        </w:tabs>
        <w:rPr>
          <w:rFonts w:asciiTheme="minorHAnsi" w:eastAsiaTheme="minorEastAsia" w:hAnsiTheme="minorHAnsi" w:cstheme="minorBidi"/>
          <w:noProof/>
          <w:lang w:eastAsia="en-IN"/>
        </w:rPr>
      </w:pPr>
      <w:hyperlink w:anchor="_Toc530497549" w:history="1">
        <w:r w:rsidR="001A14EB" w:rsidRPr="00CF5316">
          <w:rPr>
            <w:rStyle w:val="Hyperlink"/>
            <w:b/>
            <w:bCs/>
            <w:noProof/>
          </w:rPr>
          <w:t>Table 8: Annual Fixed Cost corresponding to additional capitalisation (Rs. Crore)</w:t>
        </w:r>
        <w:r w:rsidR="001A14EB">
          <w:rPr>
            <w:noProof/>
            <w:webHidden/>
          </w:rPr>
          <w:tab/>
        </w:r>
        <w:r>
          <w:rPr>
            <w:noProof/>
            <w:webHidden/>
          </w:rPr>
          <w:fldChar w:fldCharType="begin"/>
        </w:r>
        <w:r w:rsidR="001A14EB">
          <w:rPr>
            <w:noProof/>
            <w:webHidden/>
          </w:rPr>
          <w:instrText xml:space="preserve"> PAGEREF _Toc530497549 \h </w:instrText>
        </w:r>
        <w:r>
          <w:rPr>
            <w:noProof/>
            <w:webHidden/>
          </w:rPr>
        </w:r>
        <w:r>
          <w:rPr>
            <w:noProof/>
            <w:webHidden/>
          </w:rPr>
          <w:fldChar w:fldCharType="separate"/>
        </w:r>
        <w:r w:rsidR="008A42C7">
          <w:rPr>
            <w:noProof/>
            <w:webHidden/>
          </w:rPr>
          <w:t>37</w:t>
        </w:r>
        <w:r>
          <w:rPr>
            <w:noProof/>
            <w:webHidden/>
          </w:rPr>
          <w:fldChar w:fldCharType="end"/>
        </w:r>
      </w:hyperlink>
    </w:p>
    <w:p w:rsidR="001A14EB" w:rsidRDefault="00687F74">
      <w:pPr>
        <w:pStyle w:val="TableofFigures"/>
        <w:tabs>
          <w:tab w:val="right" w:leader="dot" w:pos="9180"/>
        </w:tabs>
        <w:rPr>
          <w:rFonts w:asciiTheme="minorHAnsi" w:eastAsiaTheme="minorEastAsia" w:hAnsiTheme="minorHAnsi" w:cstheme="minorBidi"/>
          <w:noProof/>
          <w:lang w:eastAsia="en-IN"/>
        </w:rPr>
      </w:pPr>
      <w:hyperlink w:anchor="_Toc530497550" w:history="1">
        <w:r w:rsidR="001A14EB" w:rsidRPr="00CF5316">
          <w:rPr>
            <w:rStyle w:val="Hyperlink"/>
            <w:b/>
            <w:bCs/>
            <w:noProof/>
          </w:rPr>
          <w:t>Table 8: Summary of Tariff Proposal for FY 2019-20</w:t>
        </w:r>
        <w:r w:rsidR="001A14EB">
          <w:rPr>
            <w:noProof/>
            <w:webHidden/>
          </w:rPr>
          <w:tab/>
        </w:r>
        <w:r>
          <w:rPr>
            <w:noProof/>
            <w:webHidden/>
          </w:rPr>
          <w:fldChar w:fldCharType="begin"/>
        </w:r>
        <w:r w:rsidR="001A14EB">
          <w:rPr>
            <w:noProof/>
            <w:webHidden/>
          </w:rPr>
          <w:instrText xml:space="preserve"> PAGEREF _Toc530497550 \h </w:instrText>
        </w:r>
        <w:r>
          <w:rPr>
            <w:noProof/>
            <w:webHidden/>
          </w:rPr>
        </w:r>
        <w:r>
          <w:rPr>
            <w:noProof/>
            <w:webHidden/>
          </w:rPr>
          <w:fldChar w:fldCharType="separate"/>
        </w:r>
        <w:r w:rsidR="008A42C7">
          <w:rPr>
            <w:noProof/>
            <w:webHidden/>
          </w:rPr>
          <w:t>38</w:t>
        </w:r>
        <w:r>
          <w:rPr>
            <w:noProof/>
            <w:webHidden/>
          </w:rPr>
          <w:fldChar w:fldCharType="end"/>
        </w:r>
      </w:hyperlink>
    </w:p>
    <w:p w:rsidR="001A14EB" w:rsidRDefault="00687F74">
      <w:pPr>
        <w:pStyle w:val="TableofFigures"/>
        <w:tabs>
          <w:tab w:val="right" w:leader="dot" w:pos="9180"/>
        </w:tabs>
        <w:rPr>
          <w:rFonts w:asciiTheme="minorHAnsi" w:eastAsiaTheme="minorEastAsia" w:hAnsiTheme="minorHAnsi" w:cstheme="minorBidi"/>
          <w:noProof/>
          <w:lang w:eastAsia="en-IN"/>
        </w:rPr>
      </w:pPr>
      <w:hyperlink w:anchor="_Toc530497551" w:history="1">
        <w:r w:rsidR="001A14EB" w:rsidRPr="00CF5316">
          <w:rPr>
            <w:rStyle w:val="Hyperlink"/>
            <w:b/>
            <w:bCs/>
            <w:noProof/>
          </w:rPr>
          <w:t>Table 8: Other Charges for FY 2019-20</w:t>
        </w:r>
        <w:r w:rsidR="001A14EB">
          <w:rPr>
            <w:noProof/>
            <w:webHidden/>
          </w:rPr>
          <w:tab/>
        </w:r>
        <w:r>
          <w:rPr>
            <w:noProof/>
            <w:webHidden/>
          </w:rPr>
          <w:fldChar w:fldCharType="begin"/>
        </w:r>
        <w:r w:rsidR="001A14EB">
          <w:rPr>
            <w:noProof/>
            <w:webHidden/>
          </w:rPr>
          <w:instrText xml:space="preserve"> PAGEREF _Toc530497551 \h </w:instrText>
        </w:r>
        <w:r>
          <w:rPr>
            <w:noProof/>
            <w:webHidden/>
          </w:rPr>
        </w:r>
        <w:r>
          <w:rPr>
            <w:noProof/>
            <w:webHidden/>
          </w:rPr>
          <w:fldChar w:fldCharType="separate"/>
        </w:r>
        <w:r w:rsidR="008A42C7">
          <w:rPr>
            <w:noProof/>
            <w:webHidden/>
          </w:rPr>
          <w:t>38</w:t>
        </w:r>
        <w:r>
          <w:rPr>
            <w:noProof/>
            <w:webHidden/>
          </w:rPr>
          <w:fldChar w:fldCharType="end"/>
        </w:r>
      </w:hyperlink>
    </w:p>
    <w:p w:rsidR="00530FD0" w:rsidRDefault="00687F74" w:rsidP="00530FD0">
      <w:pPr>
        <w:pStyle w:val="Heading1"/>
        <w:numPr>
          <w:ilvl w:val="0"/>
          <w:numId w:val="0"/>
        </w:numPr>
        <w:pBdr>
          <w:bottom w:val="none" w:sz="0" w:space="0" w:color="auto"/>
        </w:pBdr>
        <w:ind w:left="432"/>
        <w:rPr>
          <w:b w:val="0"/>
          <w:sz w:val="24"/>
          <w:szCs w:val="24"/>
        </w:rPr>
      </w:pPr>
      <w:r>
        <w:rPr>
          <w:rFonts w:eastAsia="Calibri"/>
          <w:bCs w:val="0"/>
          <w:kern w:val="0"/>
          <w:szCs w:val="24"/>
          <w:lang w:val="en-IN"/>
        </w:rPr>
        <w:fldChar w:fldCharType="end"/>
      </w:r>
    </w:p>
    <w:p w:rsidR="00A218D8" w:rsidRPr="00A218D8" w:rsidRDefault="00A218D8" w:rsidP="00A218D8">
      <w:pPr>
        <w:rPr>
          <w:lang w:val="en-GB"/>
        </w:rPr>
      </w:pPr>
    </w:p>
    <w:p w:rsidR="00530FD0" w:rsidRDefault="00530FD0" w:rsidP="00530FD0">
      <w:pPr>
        <w:rPr>
          <w:lang w:val="en-GB"/>
        </w:rPr>
      </w:pPr>
    </w:p>
    <w:p w:rsidR="00530FD0" w:rsidRDefault="00530FD0" w:rsidP="00530FD0">
      <w:pPr>
        <w:rPr>
          <w:lang w:val="en-GB"/>
        </w:rPr>
      </w:pPr>
    </w:p>
    <w:p w:rsidR="00530FD0" w:rsidRDefault="00530FD0" w:rsidP="00530FD0">
      <w:pPr>
        <w:rPr>
          <w:lang w:val="en-GB"/>
        </w:rPr>
      </w:pPr>
    </w:p>
    <w:p w:rsidR="00530FD0" w:rsidRDefault="00530FD0" w:rsidP="00530FD0">
      <w:pPr>
        <w:rPr>
          <w:lang w:val="en-GB"/>
        </w:rPr>
      </w:pPr>
    </w:p>
    <w:p w:rsidR="00530FD0" w:rsidRDefault="00530FD0" w:rsidP="00530FD0">
      <w:pPr>
        <w:rPr>
          <w:lang w:val="en-GB"/>
        </w:rPr>
      </w:pPr>
    </w:p>
    <w:p w:rsidR="00530FD0" w:rsidRDefault="00530FD0" w:rsidP="00530FD0">
      <w:pPr>
        <w:rPr>
          <w:lang w:val="en-GB"/>
        </w:rPr>
      </w:pPr>
    </w:p>
    <w:p w:rsidR="00530FD0" w:rsidRDefault="00530FD0" w:rsidP="00530FD0">
      <w:pPr>
        <w:rPr>
          <w:lang w:val="en-GB"/>
        </w:rPr>
      </w:pPr>
    </w:p>
    <w:p w:rsidR="00530FD0" w:rsidRDefault="00530FD0" w:rsidP="00530FD0">
      <w:pPr>
        <w:rPr>
          <w:lang w:val="en-GB"/>
        </w:rPr>
      </w:pPr>
    </w:p>
    <w:p w:rsidR="00530FD0" w:rsidRDefault="00530FD0" w:rsidP="00530FD0">
      <w:pPr>
        <w:rPr>
          <w:lang w:val="en-GB"/>
        </w:rPr>
      </w:pPr>
    </w:p>
    <w:p w:rsidR="00530FD0" w:rsidRDefault="00530FD0" w:rsidP="00530FD0">
      <w:pPr>
        <w:rPr>
          <w:lang w:val="en-GB"/>
        </w:rPr>
      </w:pPr>
    </w:p>
    <w:p w:rsidR="00530FD0" w:rsidRDefault="00530FD0" w:rsidP="00530FD0">
      <w:pPr>
        <w:rPr>
          <w:lang w:val="en-GB"/>
        </w:rPr>
      </w:pPr>
    </w:p>
    <w:p w:rsidR="009815FB" w:rsidRDefault="009815FB">
      <w:pPr>
        <w:spacing w:line="240" w:lineRule="auto"/>
        <w:jc w:val="left"/>
        <w:rPr>
          <w:lang w:val="en-GB"/>
        </w:rPr>
      </w:pPr>
      <w:r>
        <w:rPr>
          <w:lang w:val="en-GB"/>
        </w:rPr>
        <w:br w:type="page"/>
      </w:r>
    </w:p>
    <w:p w:rsidR="00B14B6D" w:rsidRDefault="00B14B6D" w:rsidP="00530FD0">
      <w:pPr>
        <w:rPr>
          <w:lang w:val="en-GB"/>
        </w:rPr>
      </w:pPr>
    </w:p>
    <w:p w:rsidR="00407D93" w:rsidRPr="00F972D7" w:rsidRDefault="00BF0F3C" w:rsidP="009815FB">
      <w:pPr>
        <w:pStyle w:val="Heading1"/>
        <w:spacing w:before="0"/>
      </w:pPr>
      <w:bookmarkStart w:id="17" w:name="_Toc514838597"/>
      <w:bookmarkStart w:id="18" w:name="_Toc514838598"/>
      <w:bookmarkStart w:id="19" w:name="_Toc514838599"/>
      <w:bookmarkStart w:id="20" w:name="_Toc514838600"/>
      <w:bookmarkStart w:id="21" w:name="_Toc514838601"/>
      <w:bookmarkStart w:id="22" w:name="_Toc514838602"/>
      <w:bookmarkStart w:id="23" w:name="_Toc530491636"/>
      <w:bookmarkStart w:id="24" w:name="_Toc530497529"/>
      <w:bookmarkEnd w:id="17"/>
      <w:bookmarkEnd w:id="18"/>
      <w:bookmarkEnd w:id="19"/>
      <w:bookmarkEnd w:id="20"/>
      <w:bookmarkEnd w:id="21"/>
      <w:bookmarkEnd w:id="22"/>
      <w:r w:rsidRPr="00F972D7">
        <w:t>Introduction</w:t>
      </w:r>
      <w:bookmarkEnd w:id="15"/>
      <w:bookmarkEnd w:id="16"/>
      <w:bookmarkEnd w:id="23"/>
      <w:bookmarkEnd w:id="24"/>
    </w:p>
    <w:p w:rsidR="00AD18E4" w:rsidRPr="00F972D7" w:rsidRDefault="00AD18E4" w:rsidP="00125ADD">
      <w:pPr>
        <w:pStyle w:val="ListParagraph"/>
        <w:numPr>
          <w:ilvl w:val="0"/>
          <w:numId w:val="0"/>
        </w:numPr>
        <w:ind w:left="720"/>
        <w:rPr>
          <w:b/>
          <w:szCs w:val="24"/>
        </w:rPr>
      </w:pPr>
    </w:p>
    <w:p w:rsidR="00AD18E4" w:rsidRPr="00F972D7" w:rsidRDefault="00991CDD" w:rsidP="00125ADD">
      <w:pPr>
        <w:pStyle w:val="Heading2"/>
      </w:pPr>
      <w:bookmarkStart w:id="25" w:name="_Toc436552882"/>
      <w:r w:rsidRPr="00F972D7">
        <w:t xml:space="preserve">Odisha Power Generation Corporation Limited (herein after referred as “OPGC” or “the Petitioner”) </w:t>
      </w:r>
      <w:r w:rsidR="00FB04A9" w:rsidRPr="00F972D7">
        <w:t>is a company incorporated under the Companies Act, 1956 and having its registered office at Zone-A, 7</w:t>
      </w:r>
      <w:r w:rsidR="00FB04A9" w:rsidRPr="00F972D7">
        <w:rPr>
          <w:vertAlign w:val="superscript"/>
        </w:rPr>
        <w:t>th</w:t>
      </w:r>
      <w:r w:rsidR="00FB04A9" w:rsidRPr="00F972D7">
        <w:t xml:space="preserve"> floor, Fortune Towers, Chandrasekharpur, Bhubaneswar, Odisha-751023.</w:t>
      </w:r>
      <w:bookmarkEnd w:id="25"/>
    </w:p>
    <w:p w:rsidR="00AD18E4" w:rsidRPr="00F972D7" w:rsidRDefault="00AD18E4" w:rsidP="00125ADD">
      <w:pPr>
        <w:pStyle w:val="ListParagraph"/>
        <w:numPr>
          <w:ilvl w:val="0"/>
          <w:numId w:val="0"/>
        </w:numPr>
        <w:ind w:left="720"/>
        <w:rPr>
          <w:bCs w:val="0"/>
          <w:iCs w:val="0"/>
          <w:szCs w:val="24"/>
        </w:rPr>
      </w:pPr>
    </w:p>
    <w:p w:rsidR="00AD18E4" w:rsidRPr="00F972D7" w:rsidRDefault="00FB04A9" w:rsidP="00125ADD">
      <w:pPr>
        <w:pStyle w:val="Heading2"/>
      </w:pPr>
      <w:bookmarkStart w:id="26" w:name="_Toc436552883"/>
      <w:r w:rsidRPr="00F972D7">
        <w:t xml:space="preserve">GRIDCO Limited (“GRIDCO”) had entered into Bulk Power Supply Agreement (“PPA”) with </w:t>
      </w:r>
      <w:r w:rsidR="00AC01D7" w:rsidRPr="00F972D7">
        <w:t>OPGC</w:t>
      </w:r>
      <w:r w:rsidRPr="00F972D7">
        <w:t xml:space="preserve"> dated August 13, 1996, for purchase of power from its Generating Units 1 &amp; 2, having capacity of 420 MW (210 MW x 2)</w:t>
      </w:r>
      <w:r w:rsidR="00132230" w:rsidRPr="00F972D7">
        <w:t xml:space="preserve"> of IB Thermal Power Station</w:t>
      </w:r>
      <w:r w:rsidRPr="00F972D7">
        <w:t>. The said PPA came into force from January 1, 1995 and was approved by Government of Odisha</w:t>
      </w:r>
      <w:r w:rsidR="00E85887">
        <w:t xml:space="preserve"> (“GoO”)</w:t>
      </w:r>
      <w:r w:rsidRPr="00F972D7">
        <w:t xml:space="preserve"> in exercise of its power under Section 43A of the Electricity (Supply) Act, 1948.</w:t>
      </w:r>
      <w:bookmarkEnd w:id="26"/>
    </w:p>
    <w:p w:rsidR="00AD18E4" w:rsidRPr="00F972D7" w:rsidRDefault="00AD18E4" w:rsidP="00125ADD">
      <w:pPr>
        <w:pStyle w:val="Heading2"/>
        <w:numPr>
          <w:ilvl w:val="0"/>
          <w:numId w:val="0"/>
        </w:numPr>
        <w:ind w:left="90"/>
      </w:pPr>
    </w:p>
    <w:p w:rsidR="00AD18E4" w:rsidRPr="00F972D7" w:rsidRDefault="009978AE" w:rsidP="00125ADD">
      <w:pPr>
        <w:pStyle w:val="Heading2"/>
      </w:pPr>
      <w:bookmarkStart w:id="27" w:name="_Toc436552884"/>
      <w:r w:rsidRPr="00F972D7">
        <w:t>OPGC</w:t>
      </w:r>
      <w:r w:rsidR="00FB04A9" w:rsidRPr="00F972D7">
        <w:t xml:space="preserve">, GRIDCO and </w:t>
      </w:r>
      <w:r w:rsidR="00E85887">
        <w:t>GoO</w:t>
      </w:r>
      <w:r w:rsidR="00FB04A9" w:rsidRPr="00F972D7">
        <w:t xml:space="preserve"> signed a Tripartite Agreement dated October 18, 1998</w:t>
      </w:r>
      <w:r w:rsidR="00E85887">
        <w:t xml:space="preserve"> (“Tripartite Agreement”)</w:t>
      </w:r>
      <w:r w:rsidR="00FB04A9" w:rsidRPr="00F972D7">
        <w:t xml:space="preserve"> prov</w:t>
      </w:r>
      <w:r w:rsidR="00A75B4B" w:rsidRPr="00F972D7">
        <w:t>i</w:t>
      </w:r>
      <w:r w:rsidR="00FB04A9" w:rsidRPr="00F972D7">
        <w:t xml:space="preserve">ding certain further amendments to existing PPA and other provisions including those concerning the establishment of Units 3 &amp; 4 of IB Thermal Power Station by </w:t>
      </w:r>
      <w:r w:rsidRPr="00F972D7">
        <w:t>OPGC</w:t>
      </w:r>
      <w:r w:rsidR="00FB04A9" w:rsidRPr="00F972D7">
        <w:t xml:space="preserve">. Further, Escrow and Security Agreement dated November 30, 1998 </w:t>
      </w:r>
      <w:r w:rsidR="00132230" w:rsidRPr="00F972D7">
        <w:t xml:space="preserve">was </w:t>
      </w:r>
      <w:r w:rsidR="00FB04A9" w:rsidRPr="00F972D7">
        <w:t xml:space="preserve">entered between </w:t>
      </w:r>
      <w:r w:rsidRPr="00F972D7">
        <w:t>OPGC</w:t>
      </w:r>
      <w:r w:rsidR="00FB04A9" w:rsidRPr="00F972D7">
        <w:t>, GRIDCO and Union Bank of India.</w:t>
      </w:r>
      <w:bookmarkEnd w:id="27"/>
    </w:p>
    <w:p w:rsidR="00AD18E4" w:rsidRPr="00F972D7" w:rsidRDefault="00AD18E4" w:rsidP="00125ADD">
      <w:pPr>
        <w:pStyle w:val="Heading2"/>
        <w:numPr>
          <w:ilvl w:val="0"/>
          <w:numId w:val="0"/>
        </w:numPr>
        <w:ind w:left="90"/>
      </w:pPr>
    </w:p>
    <w:p w:rsidR="00AD18E4" w:rsidRPr="00F972D7" w:rsidRDefault="009978AE" w:rsidP="00125ADD">
      <w:pPr>
        <w:pStyle w:val="Heading2"/>
      </w:pPr>
      <w:bookmarkStart w:id="28" w:name="_Toc436552885"/>
      <w:r w:rsidRPr="00F972D7">
        <w:t xml:space="preserve">GRIDCO had approached the </w:t>
      </w:r>
      <w:r w:rsidR="00CB68B3" w:rsidRPr="00F972D7">
        <w:t>Hon’ble OERC</w:t>
      </w:r>
      <w:r w:rsidRPr="00F972D7">
        <w:t xml:space="preserve"> for approval of the existing PPA in 2002. The jurisdiction of the </w:t>
      </w:r>
      <w:r w:rsidR="00CB68B3" w:rsidRPr="00F972D7">
        <w:t>Hon’ble OERC</w:t>
      </w:r>
      <w:r w:rsidRPr="00F972D7">
        <w:t xml:space="preserve"> for approval of the existing PPA was challenged by OPGC before Hon’ble Orissa High Court, but was upheld by Hon’ble Orissa High Court. Further, aggrieved by this, OPGC filed a Special Leave Petition before Hon’ble Supreme Court</w:t>
      </w:r>
      <w:r w:rsidR="00E85887">
        <w:t xml:space="preserve"> (“SC”).</w:t>
      </w:r>
      <w:r w:rsidR="00804F23" w:rsidRPr="00F972D7">
        <w:t xml:space="preserve"> The </w:t>
      </w:r>
      <w:r w:rsidRPr="00F972D7">
        <w:t xml:space="preserve">proceedings of the </w:t>
      </w:r>
      <w:r w:rsidR="00CB68B3" w:rsidRPr="00F972D7">
        <w:t>Hon’ble OERC</w:t>
      </w:r>
      <w:r w:rsidR="00804F23" w:rsidRPr="00F972D7">
        <w:t>were</w:t>
      </w:r>
      <w:r w:rsidRPr="00F972D7">
        <w:t xml:space="preserve"> stayed pursuant to an interim Order of the Hon’ble </w:t>
      </w:r>
      <w:r w:rsidR="00E85887">
        <w:t>SC</w:t>
      </w:r>
      <w:r w:rsidR="00E95697" w:rsidRPr="00F972D7">
        <w:t xml:space="preserve"> dated </w:t>
      </w:r>
      <w:r w:rsidR="00837FEC" w:rsidRPr="00F972D7">
        <w:t>April 29, 2005</w:t>
      </w:r>
      <w:r w:rsidRPr="00F972D7">
        <w:t>.</w:t>
      </w:r>
      <w:bookmarkEnd w:id="28"/>
    </w:p>
    <w:p w:rsidR="00AD18E4" w:rsidRPr="00F972D7" w:rsidRDefault="00AD18E4" w:rsidP="00125ADD">
      <w:pPr>
        <w:widowControl w:val="0"/>
        <w:rPr>
          <w:sz w:val="22"/>
        </w:rPr>
      </w:pPr>
    </w:p>
    <w:p w:rsidR="00BE4E7D" w:rsidRDefault="007A7ABE" w:rsidP="005B3D22">
      <w:pPr>
        <w:pStyle w:val="Heading2"/>
      </w:pPr>
      <w:bookmarkStart w:id="29" w:name="_Toc436552886"/>
      <w:r w:rsidRPr="005B3D22">
        <w:t>Subsequently</w:t>
      </w:r>
      <w:r w:rsidR="00FB04A9" w:rsidRPr="00F972D7">
        <w:t xml:space="preserve">, certain disputes </w:t>
      </w:r>
      <w:r w:rsidR="00E303D0">
        <w:t>arose</w:t>
      </w:r>
      <w:r w:rsidR="00FB04A9" w:rsidRPr="00F972D7">
        <w:t xml:space="preserve"> between the parties on issues </w:t>
      </w:r>
      <w:r w:rsidR="008038D7" w:rsidRPr="00F972D7">
        <w:t xml:space="preserve">arising </w:t>
      </w:r>
      <w:r w:rsidR="00FB04A9" w:rsidRPr="00F972D7">
        <w:t xml:space="preserve">from the terms of the PPA, Tripartite Agreement and other agreements between the Parties. In order to resolve these disputes, the parties entered into discussion and </w:t>
      </w:r>
      <w:r w:rsidR="00E85887">
        <w:t>GoO</w:t>
      </w:r>
      <w:r w:rsidR="00FB04A9" w:rsidRPr="00F972D7">
        <w:t xml:space="preserve"> constituted a Task Force vide Resolution No. 3895 dated May 7, 2007 for resolving disputes regarding tariff and other related matters. </w:t>
      </w:r>
      <w:r w:rsidR="00E85887">
        <w:t>GoO</w:t>
      </w:r>
      <w:r w:rsidR="00FB04A9" w:rsidRPr="00F972D7">
        <w:t xml:space="preserve"> based on the recommendations of Task Force, issued Notification No. 7216 dated June 21, 2008</w:t>
      </w:r>
      <w:r w:rsidR="00E85887">
        <w:t xml:space="preserve"> (“2008 Notification”)</w:t>
      </w:r>
      <w:r w:rsidR="00FB04A9" w:rsidRPr="00F972D7">
        <w:t xml:space="preserve"> for resolving all such disputes on terms and conditions contained therein in regard to Unit 1 &amp; 2 and also in regard to setting up of Unit 3 &amp; 4, as overall settlement of all such disputes.</w:t>
      </w:r>
      <w:bookmarkEnd w:id="29"/>
      <w:r w:rsidR="00BE4E7D">
        <w:t xml:space="preserve"> The relevant extract of </w:t>
      </w:r>
      <w:r w:rsidR="00E85887">
        <w:t>GoO 2008</w:t>
      </w:r>
      <w:r w:rsidR="00BE4E7D" w:rsidRPr="00F972D7">
        <w:t xml:space="preserve"> Notification</w:t>
      </w:r>
      <w:r w:rsidR="00BE4E7D">
        <w:t xml:space="preserve"> is as follows:</w:t>
      </w:r>
    </w:p>
    <w:p w:rsidR="00BE4E7D" w:rsidRDefault="00BE4E7D" w:rsidP="00BE4E7D">
      <w:pPr>
        <w:rPr>
          <w:lang w:val="en-GB"/>
        </w:rPr>
      </w:pPr>
    </w:p>
    <w:p w:rsidR="00BE4E7D" w:rsidRDefault="00BE4E7D" w:rsidP="00BE4E7D">
      <w:pPr>
        <w:ind w:left="720"/>
        <w:rPr>
          <w:i/>
          <w:lang w:val="en-GB"/>
        </w:rPr>
      </w:pPr>
      <w:r>
        <w:rPr>
          <w:i/>
          <w:lang w:val="en-GB"/>
        </w:rPr>
        <w:t>“3. After careful consideration of the recommendations of the task force, Government have been pleased to decide as under;</w:t>
      </w:r>
    </w:p>
    <w:p w:rsidR="00BE4E7D" w:rsidRDefault="00BE4E7D" w:rsidP="00BE4E7D">
      <w:pPr>
        <w:ind w:left="993" w:hanging="273"/>
        <w:rPr>
          <w:i/>
          <w:lang w:val="en-GB"/>
        </w:rPr>
      </w:pPr>
      <w:r>
        <w:rPr>
          <w:i/>
          <w:lang w:val="en-GB"/>
        </w:rPr>
        <w:t>(a) In order to avoid any ambiguity with regard to tariff norms and parameters for Units 1 &amp; 2, the provisions for calculation of incentive in the existing PPA shall stand amended to enhance the Plant Load Factor (PLF) from 68.49% to 80%. All other terms and parameters for determination of tariff for Units 1 &amp;2 shall be as per the existing PPA. Suitable amendments will be made in the PPA accordingly including deletion of all reference to change in tariff parameters in future. In other words, all tariff parameters will stand frozen till validity of amended PPA notwithstanding modification in tariff norms by CERC from time to time.</w:t>
      </w:r>
    </w:p>
    <w:p w:rsidR="00BE4E7D" w:rsidRDefault="00BE4E7D" w:rsidP="00BE4E7D">
      <w:pPr>
        <w:ind w:left="993" w:hanging="273"/>
        <w:rPr>
          <w:i/>
          <w:lang w:val="en-GB"/>
        </w:rPr>
      </w:pPr>
      <w:r>
        <w:rPr>
          <w:i/>
          <w:lang w:val="en-GB"/>
        </w:rPr>
        <w:t>(b) The amended PPA shall be filed before the OERC for consent/approval.</w:t>
      </w:r>
    </w:p>
    <w:p w:rsidR="00BE4E7D" w:rsidRDefault="00BE4E7D" w:rsidP="00BE4E7D">
      <w:pPr>
        <w:ind w:left="993" w:hanging="273"/>
        <w:rPr>
          <w:i/>
          <w:lang w:val="en-GB"/>
        </w:rPr>
      </w:pPr>
      <w:r>
        <w:rPr>
          <w:i/>
          <w:lang w:val="en-GB"/>
        </w:rPr>
        <w:t>(c) The amended PPA shall be effective with effect from 01.04.2007.”</w:t>
      </w:r>
    </w:p>
    <w:p w:rsidR="00AD18E4" w:rsidRPr="00F972D7" w:rsidRDefault="00AD18E4" w:rsidP="00125ADD">
      <w:pPr>
        <w:pStyle w:val="Heading2"/>
        <w:numPr>
          <w:ilvl w:val="0"/>
          <w:numId w:val="0"/>
        </w:numPr>
        <w:ind w:left="90"/>
      </w:pPr>
    </w:p>
    <w:p w:rsidR="005B5561" w:rsidRPr="00F972D7" w:rsidRDefault="00FB04A9">
      <w:pPr>
        <w:pStyle w:val="Heading2"/>
      </w:pPr>
      <w:bookmarkStart w:id="30" w:name="_Toc436552887"/>
      <w:r w:rsidRPr="00F972D7">
        <w:t xml:space="preserve">Pursuant to above, </w:t>
      </w:r>
      <w:r w:rsidR="009978AE" w:rsidRPr="00F972D7">
        <w:t>OPGC</w:t>
      </w:r>
      <w:r w:rsidRPr="00F972D7">
        <w:t xml:space="preserve"> and GRIDCO agreed to amend existing PPA and Tripartite agreement based on </w:t>
      </w:r>
      <w:r w:rsidR="00E85887">
        <w:t xml:space="preserve">GoO’s 2008 Notification. </w:t>
      </w:r>
      <w:r w:rsidRPr="00F972D7">
        <w:t xml:space="preserve"> Accordingly, </w:t>
      </w:r>
      <w:r w:rsidR="00804F23" w:rsidRPr="00F972D7">
        <w:t>an</w:t>
      </w:r>
      <w:r w:rsidRPr="00F972D7">
        <w:t xml:space="preserve"> agreement was signed on September 6, 2012 </w:t>
      </w:r>
      <w:r w:rsidR="00132230" w:rsidRPr="00F972D7">
        <w:t xml:space="preserve">as </w:t>
      </w:r>
      <w:r w:rsidR="00804F23" w:rsidRPr="00F972D7">
        <w:t xml:space="preserve">Supplemental </w:t>
      </w:r>
      <w:r w:rsidRPr="00F972D7">
        <w:t>to the Tripartite agreement executed on October 18, 1998</w:t>
      </w:r>
      <w:r w:rsidR="00804F23" w:rsidRPr="00F972D7">
        <w:t xml:space="preserve"> (together called as “Amended Tripartite Agreement”)</w:t>
      </w:r>
      <w:r w:rsidRPr="00F972D7">
        <w:t xml:space="preserve">. The </w:t>
      </w:r>
      <w:r w:rsidR="00804F23" w:rsidRPr="00F972D7">
        <w:t xml:space="preserve">Amended </w:t>
      </w:r>
      <w:r w:rsidRPr="00F972D7">
        <w:t xml:space="preserve">Tripartite </w:t>
      </w:r>
      <w:r w:rsidR="00804F23" w:rsidRPr="00F972D7">
        <w:t xml:space="preserve">Agreement </w:t>
      </w:r>
      <w:r w:rsidRPr="00F972D7">
        <w:t>has been made effective from October 12, 2009.</w:t>
      </w:r>
      <w:bookmarkEnd w:id="30"/>
    </w:p>
    <w:p w:rsidR="005B5561" w:rsidRPr="00F972D7" w:rsidRDefault="005B5561">
      <w:pPr>
        <w:ind w:left="578"/>
      </w:pPr>
    </w:p>
    <w:p w:rsidR="005B5561" w:rsidRPr="00F972D7" w:rsidRDefault="00804F23">
      <w:pPr>
        <w:pStyle w:val="Heading2"/>
      </w:pPr>
      <w:bookmarkStart w:id="31" w:name="_Toc436552888"/>
      <w:r w:rsidRPr="00F972D7">
        <w:t>Subsequently, OPGC and GRIDCO signed an amendment to existing PPA on December 19, 2012 by amending certain clauses (together called the “Amended PPA”)</w:t>
      </w:r>
      <w:r w:rsidR="00C12690">
        <w:t>, which was retrospectively brought to effect from April 1, 2007</w:t>
      </w:r>
      <w:r w:rsidRPr="00F972D7">
        <w:t xml:space="preserve">. </w:t>
      </w:r>
    </w:p>
    <w:bookmarkEnd w:id="31"/>
    <w:p w:rsidR="00AD18E4" w:rsidRPr="00F972D7" w:rsidRDefault="00AD18E4" w:rsidP="00125ADD">
      <w:pPr>
        <w:pStyle w:val="Heading2"/>
        <w:numPr>
          <w:ilvl w:val="0"/>
          <w:numId w:val="0"/>
        </w:numPr>
        <w:ind w:left="666"/>
      </w:pPr>
    </w:p>
    <w:p w:rsidR="00AD18E4" w:rsidRPr="00F972D7" w:rsidRDefault="009978AE" w:rsidP="00125ADD">
      <w:pPr>
        <w:pStyle w:val="Heading2"/>
      </w:pPr>
      <w:bookmarkStart w:id="32" w:name="_Toc436552889"/>
      <w:r w:rsidRPr="00F972D7">
        <w:t xml:space="preserve">With the execution of this agreement, the Parties agreed </w:t>
      </w:r>
      <w:r w:rsidR="00804F23" w:rsidRPr="00F972D7">
        <w:t xml:space="preserve">that </w:t>
      </w:r>
      <w:r w:rsidR="00FA64C7" w:rsidRPr="00F972D7">
        <w:t>all pending differences have been settled and OPGC shall withdraw Special Leave Petition pending before Hon’ble</w:t>
      </w:r>
      <w:r w:rsidR="004D0BB5">
        <w:t xml:space="preserve"> SC.</w:t>
      </w:r>
      <w:r w:rsidR="00FA64C7" w:rsidRPr="00F972D7">
        <w:t xml:space="preserve"> Further, Hon’ble </w:t>
      </w:r>
      <w:r w:rsidR="004D0BB5">
        <w:t>SC</w:t>
      </w:r>
      <w:r w:rsidR="00FA64C7" w:rsidRPr="00F972D7">
        <w:t xml:space="preserve"> vide its Order dated February 14, 2013 dismissed </w:t>
      </w:r>
      <w:r w:rsidR="002A6158">
        <w:t>the Special Leave Petition</w:t>
      </w:r>
      <w:r w:rsidR="006038E9">
        <w:t xml:space="preserve"> </w:t>
      </w:r>
      <w:r w:rsidR="00FA64C7" w:rsidRPr="00F972D7">
        <w:t xml:space="preserve">as withdrawn by OPGC and in the said order Hon’ble </w:t>
      </w:r>
      <w:r w:rsidR="004D0BB5">
        <w:t>SC</w:t>
      </w:r>
      <w:r w:rsidR="00FA64C7" w:rsidRPr="00F972D7">
        <w:t xml:space="preserve"> directed OPGC to file the </w:t>
      </w:r>
      <w:r w:rsidR="00804F23" w:rsidRPr="00F972D7">
        <w:t xml:space="preserve">Amended </w:t>
      </w:r>
      <w:r w:rsidR="00FA64C7" w:rsidRPr="00F972D7">
        <w:t xml:space="preserve">PPA before Hon’ble </w:t>
      </w:r>
      <w:r w:rsidR="00132230" w:rsidRPr="00F972D7">
        <w:t xml:space="preserve">OERC </w:t>
      </w:r>
      <w:r w:rsidR="00FA64C7" w:rsidRPr="00F972D7">
        <w:t xml:space="preserve">and the Hon’ble </w:t>
      </w:r>
      <w:r w:rsidR="00132230" w:rsidRPr="00F972D7">
        <w:t xml:space="preserve">OERC </w:t>
      </w:r>
      <w:r w:rsidR="00FA64C7" w:rsidRPr="00F972D7">
        <w:t>shall consider the same appropriately in accordance with la</w:t>
      </w:r>
      <w:r w:rsidR="00121945" w:rsidRPr="00F972D7">
        <w:t>w.</w:t>
      </w:r>
      <w:bookmarkEnd w:id="32"/>
    </w:p>
    <w:p w:rsidR="00A67816" w:rsidRPr="00A67816" w:rsidRDefault="00A67816" w:rsidP="00106F47">
      <w:pPr>
        <w:rPr>
          <w:lang w:val="en-GB"/>
        </w:rPr>
      </w:pPr>
    </w:p>
    <w:p w:rsidR="00A67816" w:rsidRPr="00F972D7" w:rsidRDefault="00FB04A9" w:rsidP="00321560">
      <w:pPr>
        <w:pStyle w:val="Heading2"/>
      </w:pPr>
      <w:bookmarkStart w:id="33" w:name="_Toc436552890"/>
      <w:r w:rsidRPr="00F972D7">
        <w:t xml:space="preserve">Hon’ble </w:t>
      </w:r>
      <w:r w:rsidR="00132230" w:rsidRPr="00F972D7">
        <w:t xml:space="preserve">OERC </w:t>
      </w:r>
      <w:r w:rsidRPr="00F972D7">
        <w:t xml:space="preserve">vide its Order dated April 27, 2015 approved the </w:t>
      </w:r>
      <w:r w:rsidR="00804F23" w:rsidRPr="00F972D7">
        <w:t>Amended</w:t>
      </w:r>
      <w:r w:rsidR="006038E9">
        <w:t xml:space="preserve"> </w:t>
      </w:r>
      <w:r w:rsidRPr="00F972D7">
        <w:t>PPA</w:t>
      </w:r>
      <w:r w:rsidR="00C618FA">
        <w:t>, being filed before Hon’ble OERC jointly by OPGC and GRIDCO,</w:t>
      </w:r>
      <w:r w:rsidRPr="00F972D7">
        <w:t xml:space="preserve"> as under</w:t>
      </w:r>
      <w:bookmarkEnd w:id="33"/>
      <w:r w:rsidR="00A67816">
        <w:t xml:space="preserve"> (with emphasis added by underlining)</w:t>
      </w:r>
      <w:r w:rsidR="00A67816" w:rsidRPr="00F972D7">
        <w:t>:</w:t>
      </w:r>
    </w:p>
    <w:p w:rsidR="00A67816" w:rsidRDefault="00A67816" w:rsidP="00A67816">
      <w:pPr>
        <w:pStyle w:val="Verbatium"/>
        <w:ind w:left="576"/>
        <w:rPr>
          <w:i w:val="0"/>
        </w:rPr>
      </w:pPr>
      <w:r w:rsidRPr="00F972D7">
        <w:t>“</w:t>
      </w:r>
      <w:r>
        <w:t xml:space="preserve">9. </w:t>
      </w:r>
      <w:r>
        <w:rPr>
          <w:color w:val="000000"/>
        </w:rPr>
        <w:t>The above stipulation in PPA provides for settlement of issues if any arise due to</w:t>
      </w:r>
      <w:r>
        <w:rPr>
          <w:color w:val="000000"/>
        </w:rPr>
        <w:br/>
        <w:t>implementation of this PPA in a future date the same shall be resolved basing on</w:t>
      </w:r>
      <w:r>
        <w:rPr>
          <w:color w:val="000000"/>
        </w:rPr>
        <w:br/>
        <w:t xml:space="preserve">mutual discussion keeping intent and objects of the PPA intact. </w:t>
      </w:r>
      <w:r w:rsidRPr="00135A5B">
        <w:rPr>
          <w:color w:val="000000"/>
          <w:u w:val="single"/>
        </w:rPr>
        <w:t>Therefore, the</w:t>
      </w:r>
      <w:r w:rsidRPr="00135A5B">
        <w:rPr>
          <w:color w:val="000000"/>
          <w:u w:val="single"/>
        </w:rPr>
        <w:br/>
        <w:t>Commission has no objection to approve the PPA including its amendment between</w:t>
      </w:r>
      <w:r w:rsidRPr="00135A5B">
        <w:rPr>
          <w:color w:val="000000"/>
          <w:u w:val="single"/>
        </w:rPr>
        <w:br/>
        <w:t>GRIDCO and OPGC for purchase of power from Unit 1 &amp; 2 of Ib Thermal Power</w:t>
      </w:r>
      <w:r w:rsidRPr="00135A5B">
        <w:rPr>
          <w:color w:val="000000"/>
          <w:u w:val="single"/>
        </w:rPr>
        <w:br/>
        <w:t>Station as it stands now</w:t>
      </w:r>
      <w:r>
        <w:rPr>
          <w:color w:val="000000"/>
        </w:rPr>
        <w:t>.</w:t>
      </w:r>
    </w:p>
    <w:p w:rsidR="00A67816" w:rsidRPr="008C7832" w:rsidRDefault="00A67816" w:rsidP="00A67816">
      <w:pPr>
        <w:pStyle w:val="Verbatium"/>
        <w:ind w:left="576"/>
        <w:rPr>
          <w:i w:val="0"/>
        </w:rPr>
      </w:pPr>
      <w:r>
        <w:rPr>
          <w:i w:val="0"/>
        </w:rPr>
        <w:t>…</w:t>
      </w:r>
    </w:p>
    <w:p w:rsidR="00AD18E4" w:rsidRPr="00F972D7" w:rsidRDefault="00FB04A9" w:rsidP="00A67816">
      <w:pPr>
        <w:pStyle w:val="Verbatium"/>
        <w:ind w:left="567" w:firstLine="9"/>
        <w:rPr>
          <w:sz w:val="24"/>
          <w:szCs w:val="24"/>
        </w:rPr>
      </w:pPr>
      <w:r w:rsidRPr="00F972D7">
        <w:t>11. Since the power purchase by GRIDCO from Unit 1 &amp; 2 of Ib Thermal Power Station</w:t>
      </w:r>
      <w:r w:rsidR="006038E9">
        <w:t xml:space="preserve"> </w:t>
      </w:r>
      <w:r w:rsidRPr="00F972D7">
        <w:t>has</w:t>
      </w:r>
      <w:r w:rsidR="006038E9">
        <w:t xml:space="preserve"> </w:t>
      </w:r>
      <w:r w:rsidRPr="00F972D7">
        <w:t>been continuing as per mutual agreement without approved PPA and the</w:t>
      </w:r>
      <w:r w:rsidR="006038E9">
        <w:t xml:space="preserve"> </w:t>
      </w:r>
      <w:r w:rsidRPr="00F972D7">
        <w:t>Commission has approved the same in the ARR of GRIDCO for the concerned year</w:t>
      </w:r>
      <w:r w:rsidR="006038E9">
        <w:t xml:space="preserve"> </w:t>
      </w:r>
      <w:r w:rsidRPr="00F972D7">
        <w:t xml:space="preserve">there is no need to reopen the same as per the above Regulation. </w:t>
      </w:r>
      <w:r w:rsidRPr="00A67816">
        <w:rPr>
          <w:u w:val="single"/>
        </w:rPr>
        <w:t>The parties should,therefore, settle the power purchase process for the period prior to implementation of</w:t>
      </w:r>
      <w:r w:rsidR="006038E9">
        <w:rPr>
          <w:u w:val="single"/>
        </w:rPr>
        <w:t xml:space="preserve"> </w:t>
      </w:r>
      <w:r w:rsidRPr="00A67816">
        <w:rPr>
          <w:u w:val="single"/>
        </w:rPr>
        <w:t>the above Regulation taking into account the original PPA and its supplemental one as</w:t>
      </w:r>
      <w:r w:rsidR="006038E9">
        <w:rPr>
          <w:u w:val="single"/>
        </w:rPr>
        <w:t xml:space="preserve"> </w:t>
      </w:r>
      <w:r w:rsidRPr="00A67816">
        <w:rPr>
          <w:u w:val="single"/>
        </w:rPr>
        <w:t>approved by us now.</w:t>
      </w:r>
      <w:r w:rsidRPr="00F972D7">
        <w:t>”</w:t>
      </w:r>
    </w:p>
    <w:p w:rsidR="004F0F8C" w:rsidRDefault="004F0F8C" w:rsidP="004F0F8C">
      <w:pPr>
        <w:pStyle w:val="Heading2"/>
        <w:numPr>
          <w:ilvl w:val="0"/>
          <w:numId w:val="0"/>
        </w:numPr>
        <w:ind w:left="578"/>
      </w:pPr>
      <w:bookmarkStart w:id="34" w:name="_Toc436552891"/>
    </w:p>
    <w:p w:rsidR="007270B0" w:rsidRDefault="00FB04A9" w:rsidP="007270B0">
      <w:pPr>
        <w:pStyle w:val="Heading2"/>
      </w:pPr>
      <w:r w:rsidRPr="00F972D7">
        <w:t xml:space="preserve">Further, </w:t>
      </w:r>
      <w:r w:rsidR="00CB68B3" w:rsidRPr="00F972D7">
        <w:t>Hon’ble OERC</w:t>
      </w:r>
      <w:r w:rsidRPr="00F972D7">
        <w:t xml:space="preserve"> in the said Order dated April 27</w:t>
      </w:r>
      <w:r w:rsidR="005B2179" w:rsidRPr="00F972D7">
        <w:t>,</w:t>
      </w:r>
      <w:r w:rsidRPr="00F972D7">
        <w:t xml:space="preserve"> 2015 directed </w:t>
      </w:r>
      <w:r w:rsidR="009978AE" w:rsidRPr="00F972D7">
        <w:t xml:space="preserve">OPGC </w:t>
      </w:r>
      <w:r w:rsidRPr="00F972D7">
        <w:t xml:space="preserve">to file an application for determination of Generation Tariff, as per approved </w:t>
      </w:r>
      <w:r w:rsidR="00804F23" w:rsidRPr="00F972D7">
        <w:t xml:space="preserve">Amended </w:t>
      </w:r>
      <w:r w:rsidRPr="00F972D7">
        <w:t xml:space="preserve">PPA, for rest of the control period starting from FY 2016-17 onwards since tariff for FY 2014-15 and FY 2015-16 has already been approved by </w:t>
      </w:r>
      <w:r w:rsidR="00CB68B3" w:rsidRPr="00F972D7">
        <w:t>Hon’ble OERC</w:t>
      </w:r>
      <w:r w:rsidRPr="00F972D7">
        <w:t xml:space="preserve"> in ARR of GRIDCO.</w:t>
      </w:r>
      <w:bookmarkEnd w:id="34"/>
      <w:r w:rsidR="00D36C61" w:rsidRPr="00F972D7">
        <w:t>The relevant extract of the OERC Order is reproduced below:</w:t>
      </w:r>
    </w:p>
    <w:p w:rsidR="005B5561" w:rsidRPr="00F972D7" w:rsidRDefault="00C261AD">
      <w:pPr>
        <w:pStyle w:val="Verbatium"/>
      </w:pPr>
      <w:r w:rsidRPr="00F972D7">
        <w:t>“12. The Regulation 2.7 of OERC (Terms and Conditions for Determination of Generation Tariff) Regulations, 2014 provides as follows:</w:t>
      </w:r>
    </w:p>
    <w:p w:rsidR="005B5561" w:rsidRPr="00F972D7" w:rsidRDefault="00C261AD">
      <w:pPr>
        <w:pStyle w:val="Verbatium"/>
        <w:ind w:left="2160"/>
      </w:pPr>
      <w:r w:rsidRPr="00F972D7">
        <w:t>“The existing generation plants of OHPC and OPGC may make an application as per the Format prescribed by the Commission for determination of tariff as per annual schedule, by November 30</w:t>
      </w:r>
      <w:r w:rsidRPr="00F972D7">
        <w:rPr>
          <w:sz w:val="15"/>
          <w:szCs w:val="15"/>
        </w:rPr>
        <w:t xml:space="preserve">th </w:t>
      </w:r>
      <w:r w:rsidRPr="00F972D7">
        <w:t>of every year for determination of tariff in respect of the units of the generating station completed or projected to be completed within six months from the date of application.</w:t>
      </w:r>
    </w:p>
    <w:p w:rsidR="005B5561" w:rsidRPr="00F972D7" w:rsidRDefault="00C261AD">
      <w:pPr>
        <w:pStyle w:val="Verbatium"/>
        <w:ind w:left="2160"/>
      </w:pPr>
      <w:r w:rsidRPr="00F972D7">
        <w:t>Provided that the OHPC and OPGC shall make an application as per the prescribed Format with necessary information and explanations, for determination of tariff based on capital expenditure incurred duly certified by the auditors or projected to be incurred up to the date of commercial operation and additional capital expenditure incurred duly certified by the auditors or projected to be incurred during the period for which application for determination of tariff is filed of the generating station:</w:t>
      </w:r>
      <w:r w:rsidRPr="00F972D7">
        <w:rPr>
          <w:sz w:val="22"/>
        </w:rPr>
        <w:t>”</w:t>
      </w:r>
    </w:p>
    <w:p w:rsidR="005B5561" w:rsidRPr="00F972D7" w:rsidRDefault="005B5561">
      <w:pPr>
        <w:pStyle w:val="Verbatium"/>
      </w:pPr>
    </w:p>
    <w:p w:rsidR="005B5561" w:rsidRPr="00F972D7" w:rsidRDefault="00D36C61">
      <w:pPr>
        <w:pStyle w:val="Verbatium"/>
      </w:pPr>
      <w:r w:rsidRPr="00F972D7">
        <w:t>13. Due to the above provision in the Regulation read with Regulation 7.13 of the same Regulations, OPGC shall make an application before the Commission as per the above approved PPA each year for determination of tariff for the rest of the control period starting from FY 2016-17 onwards since the tariff for the FY 2014-15 and 2015-16 has already been approved by the Commission in the ARR of GRIDCO for the said year basing on the submission of GRIDCO.”</w:t>
      </w:r>
    </w:p>
    <w:p w:rsidR="005B5561" w:rsidRPr="00F972D7" w:rsidRDefault="005B5561">
      <w:pPr>
        <w:pStyle w:val="Heading2"/>
        <w:numPr>
          <w:ilvl w:val="0"/>
          <w:numId w:val="0"/>
        </w:numPr>
        <w:ind w:left="666"/>
      </w:pPr>
    </w:p>
    <w:p w:rsidR="00DC271A" w:rsidRDefault="000C0125" w:rsidP="00571AF6">
      <w:pPr>
        <w:pStyle w:val="Heading2"/>
      </w:pPr>
      <w:r w:rsidRPr="00F972D7">
        <w:t xml:space="preserve">In compliance </w:t>
      </w:r>
      <w:r w:rsidR="0045569D">
        <w:t>with</w:t>
      </w:r>
      <w:r w:rsidR="00751171">
        <w:t xml:space="preserve"> </w:t>
      </w:r>
      <w:r w:rsidRPr="00F972D7">
        <w:t xml:space="preserve">the above directions of the Hon’ble OERC, OPGC </w:t>
      </w:r>
      <w:r>
        <w:t>filed</w:t>
      </w:r>
      <w:r w:rsidR="00751171">
        <w:t xml:space="preserve"> </w:t>
      </w:r>
      <w:r w:rsidR="00FD2409">
        <w:t>a</w:t>
      </w:r>
      <w:r w:rsidR="00751171">
        <w:t xml:space="preserve"> </w:t>
      </w:r>
      <w:r>
        <w:t>Petition</w:t>
      </w:r>
      <w:r w:rsidRPr="00F972D7">
        <w:t xml:space="preserve"> for Approval of Generation Tariff for FY 2016-17 under Section 62 and 86 of the Act, approved Amended PPA and related provision of OERC (Terms and Conditions of Generation Tariff) Regulations, 2014 and OERC (Conduct of Business) Regulations, 2004, as amended from time to time.</w:t>
      </w:r>
      <w:r w:rsidR="00FD2409">
        <w:t xml:space="preserve"> The</w:t>
      </w:r>
      <w:r>
        <w:t xml:space="preserve"> Hon’ble OERC, vide its Order dated March 21, 2016 disposed of the above Petition (Case No. 53/2015) approving the Generation Tariff of </w:t>
      </w:r>
      <w:r w:rsidRPr="00C04BB1">
        <w:rPr>
          <w:szCs w:val="24"/>
          <w:lang w:val="en-US"/>
        </w:rPr>
        <w:t>Units 1 &amp; 2 of IB Thermal Power Station</w:t>
      </w:r>
      <w:r>
        <w:t xml:space="preserve"> for FY 2016-17</w:t>
      </w:r>
      <w:r w:rsidR="00751171">
        <w:t xml:space="preserve"> </w:t>
      </w:r>
      <w:r w:rsidR="00FD2409">
        <w:t>exclusively in accordance with the terms and conditions of the 2014 Tariff Regulations, and n</w:t>
      </w:r>
      <w:r w:rsidR="00751171">
        <w:t>e</w:t>
      </w:r>
      <w:r w:rsidR="002E10CE">
        <w:t>ither</w:t>
      </w:r>
      <w:r w:rsidR="00FD2409">
        <w:t xml:space="preserve"> the 2008 Notification </w:t>
      </w:r>
      <w:r w:rsidR="002E10CE">
        <w:t>n</w:t>
      </w:r>
      <w:r w:rsidR="00FD2409">
        <w:t>or the Amended PPA.</w:t>
      </w:r>
      <w:r w:rsidR="00751171">
        <w:t xml:space="preserve"> </w:t>
      </w:r>
      <w:r w:rsidR="00C04BB1">
        <w:t>OPGC filed Appeal No. 126 of 2016 before the Hon’ble Appellate Tribunal for Electricity (“APTEL”) against the said Tariff Order for FY 2016-17</w:t>
      </w:r>
      <w:r w:rsidR="00751171">
        <w:t xml:space="preserve"> </w:t>
      </w:r>
      <w:r w:rsidR="00FD2409">
        <w:t>in Case No. 53/2015</w:t>
      </w:r>
      <w:r w:rsidR="00C04BB1">
        <w:t>.</w:t>
      </w:r>
      <w:r w:rsidR="00751171">
        <w:t xml:space="preserve"> </w:t>
      </w:r>
      <w:r w:rsidR="00BA2A74">
        <w:t xml:space="preserve">During the pendency of the stated Appeal before the Hon’ble APTEL, OPGC filed </w:t>
      </w:r>
      <w:r w:rsidR="00FD2409">
        <w:t>a</w:t>
      </w:r>
      <w:r w:rsidR="00BA2A74">
        <w:t xml:space="preserve"> Petition for Approval of Generation Tariff for FY 2017-18 and the Hon’ble OERC disposed of the said Petition (Case No. 62/2016) vide its Order dated March 23, 2017 determining the Generation Tariff for FY 2017-18 in line with its approach adopted in the tariff determination for FY 2016-17.</w:t>
      </w:r>
      <w:r w:rsidR="00751171">
        <w:t xml:space="preserve"> </w:t>
      </w:r>
      <w:r w:rsidR="001A7877">
        <w:t>Hon’ble APTEL vide its Judgment dated April 6, 2017 in the stated Appeal upheld th</w:t>
      </w:r>
      <w:r w:rsidR="004D0BB5">
        <w:t>is Hon’ble Commission’s</w:t>
      </w:r>
      <w:r w:rsidR="001A7877">
        <w:t xml:space="preserve"> Tariff Order for FY 2016-17.</w:t>
      </w:r>
    </w:p>
    <w:p w:rsidR="001A7877" w:rsidRDefault="001A7877" w:rsidP="001A7877">
      <w:pPr>
        <w:pStyle w:val="Heading2"/>
        <w:numPr>
          <w:ilvl w:val="0"/>
          <w:numId w:val="0"/>
        </w:numPr>
      </w:pPr>
    </w:p>
    <w:p w:rsidR="00C064D8" w:rsidRDefault="001A7877" w:rsidP="00751FE2">
      <w:pPr>
        <w:pStyle w:val="Heading2"/>
        <w:rPr>
          <w:rFonts w:eastAsia="Consolas"/>
          <w:color w:val="000000"/>
          <w:lang w:eastAsia="en-GB" w:bidi="en-GB"/>
        </w:rPr>
      </w:pPr>
      <w:r>
        <w:t xml:space="preserve">Aggrieved by the Judgment of </w:t>
      </w:r>
      <w:r w:rsidRPr="001A7877">
        <w:t>the</w:t>
      </w:r>
      <w:r>
        <w:t xml:space="preserve"> Hon’ble APTEL, OPGC filed Civil Appeal No. 9485 of 2017 before the Hon’ble</w:t>
      </w:r>
      <w:r w:rsidR="00751171">
        <w:t xml:space="preserve"> </w:t>
      </w:r>
      <w:r w:rsidR="004D0BB5">
        <w:t>SC</w:t>
      </w:r>
      <w:r>
        <w:t>. During the pendency of the stated Civil Appeal before the Hon’ble</w:t>
      </w:r>
      <w:r w:rsidR="004D0BB5">
        <w:t xml:space="preserve"> SC,</w:t>
      </w:r>
      <w:r>
        <w:t xml:space="preserve"> OPGC filed the Petition for Approval of Generation Tariff for FY 2018-19 and the Hon’ble OERC disposed of the said Petition (Case No. 75/2017) vide its Order dated March 22, 2018 determining the Generation Tariff for FY 2018-19 in line with its approach adopted in the tariff determination for FY 2016-17.</w:t>
      </w:r>
      <w:r w:rsidR="00111A98">
        <w:t xml:space="preserve"> The</w:t>
      </w:r>
      <w:r>
        <w:t xml:space="preserve"> Hon’ble</w:t>
      </w:r>
      <w:r w:rsidR="004D0BB5">
        <w:t xml:space="preserve"> SC</w:t>
      </w:r>
      <w:r>
        <w:t xml:space="preserve"> vide its Judgment dated April 19, 2018 in the stated Appeal set aside the Tariff Order for FY 2016-17 and remanded the matter to</w:t>
      </w:r>
      <w:r w:rsidR="00111A98">
        <w:t xml:space="preserve"> the</w:t>
      </w:r>
      <w:r>
        <w:t xml:space="preserve"> Hon’ble OERC for</w:t>
      </w:r>
      <w:r w:rsidR="00111A98">
        <w:t xml:space="preserve"> a</w:t>
      </w:r>
      <w:r>
        <w:t xml:space="preserve"> fresh decision.</w:t>
      </w:r>
      <w:r w:rsidR="00E303D0">
        <w:t xml:space="preserve"> In </w:t>
      </w:r>
      <w:r w:rsidR="00111A98">
        <w:t>effect</w:t>
      </w:r>
      <w:r w:rsidR="00E303D0">
        <w:t>, the Hon’ble SC</w:t>
      </w:r>
      <w:r w:rsidR="00111A98">
        <w:t xml:space="preserve"> has </w:t>
      </w:r>
      <w:r w:rsidR="00111A98" w:rsidRPr="00B22F29">
        <w:t>held that primarily the</w:t>
      </w:r>
      <w:r w:rsidR="00111A98">
        <w:t xml:space="preserve"> tariff norms under the</w:t>
      </w:r>
      <w:r w:rsidR="00111A98" w:rsidRPr="00B22F29">
        <w:t xml:space="preserve"> PPA</w:t>
      </w:r>
      <w:r w:rsidR="00111A98">
        <w:t xml:space="preserve"> are to be followed in determining OPGC’s tariff. Further,</w:t>
      </w:r>
      <w:r w:rsidR="00111A98" w:rsidRPr="00B22F29">
        <w:t xml:space="preserve"> to the extent there are tariff norms not covered by the PPA, the </w:t>
      </w:r>
      <w:r w:rsidR="00111A98">
        <w:t>2014</w:t>
      </w:r>
      <w:r w:rsidR="00111A98" w:rsidRPr="00B22F29">
        <w:t xml:space="preserve"> Tariff Regulations may be relied upon by the </w:t>
      </w:r>
      <w:r w:rsidR="00111A98">
        <w:t>OERC to determine OPGC’s tariff. It is submitted that the effect of the SC’s Judgment is that this arrangement would apply for the entire term of the subsistence of the PPA viz. till 30.06.2026. Any contrary interpretation would violate Regulation 4.4 of the 2014 Tariff Regulations.</w:t>
      </w:r>
      <w:r w:rsidR="00751171">
        <w:t xml:space="preserve"> </w:t>
      </w:r>
      <w:r w:rsidR="00BB499A">
        <w:t xml:space="preserve">This being the case, it is no longer </w:t>
      </w:r>
      <w:r w:rsidR="00111A98">
        <w:t>permissible</w:t>
      </w:r>
      <w:r w:rsidR="00E303D0">
        <w:t xml:space="preserve"> to rely on the generic tariff norms under the </w:t>
      </w:r>
      <w:r w:rsidR="004C5523">
        <w:t>2014</w:t>
      </w:r>
      <w:r w:rsidR="00E303D0">
        <w:t xml:space="preserve"> Ta</w:t>
      </w:r>
      <w:r w:rsidR="00BB499A">
        <w:t xml:space="preserve">riff Regulations for the purpose </w:t>
      </w:r>
      <w:r w:rsidR="00C064D8">
        <w:t>of determining fixed costs and variable costs</w:t>
      </w:r>
      <w:r w:rsidR="007E1F13">
        <w:t>,</w:t>
      </w:r>
      <w:r w:rsidR="00C064D8">
        <w:t xml:space="preserve"> which</w:t>
      </w:r>
      <w:r w:rsidR="00751171">
        <w:t xml:space="preserve"> </w:t>
      </w:r>
      <w:r w:rsidR="007E1F13">
        <w:rPr>
          <w:rFonts w:eastAsia="Consolas"/>
          <w:color w:val="000000"/>
          <w:lang w:eastAsia="en-GB" w:bidi="en-GB"/>
        </w:rPr>
        <w:t>must now</w:t>
      </w:r>
      <w:r w:rsidR="00C064D8">
        <w:rPr>
          <w:rFonts w:eastAsia="Consolas"/>
          <w:color w:val="000000"/>
          <w:lang w:eastAsia="en-GB" w:bidi="en-GB"/>
        </w:rPr>
        <w:t xml:space="preserve"> be determined in accordance with the</w:t>
      </w:r>
      <w:r w:rsidR="00111A98">
        <w:rPr>
          <w:rFonts w:eastAsia="Consolas"/>
          <w:color w:val="000000"/>
          <w:lang w:eastAsia="en-GB" w:bidi="en-GB"/>
        </w:rPr>
        <w:t xml:space="preserve"> tariff norms under the approved</w:t>
      </w:r>
      <w:r w:rsidR="00C064D8">
        <w:rPr>
          <w:rFonts w:eastAsia="Consolas"/>
          <w:color w:val="000000"/>
          <w:lang w:eastAsia="en-GB" w:bidi="en-GB"/>
        </w:rPr>
        <w:t xml:space="preserve"> PPA.</w:t>
      </w:r>
    </w:p>
    <w:p w:rsidR="00C03A5B" w:rsidRDefault="00C03A5B" w:rsidP="00FD2409">
      <w:pPr>
        <w:widowControl w:val="0"/>
        <w:ind w:left="567"/>
        <w:rPr>
          <w:rFonts w:eastAsia="Consolas"/>
          <w:color w:val="000000"/>
          <w:lang w:val="en-GB" w:eastAsia="en-GB" w:bidi="en-GB"/>
        </w:rPr>
      </w:pPr>
    </w:p>
    <w:p w:rsidR="001A7877" w:rsidRPr="00C064D8" w:rsidRDefault="001A7877" w:rsidP="00C03A5B">
      <w:pPr>
        <w:pStyle w:val="Heading2"/>
        <w:rPr>
          <w:rFonts w:eastAsia="Consolas"/>
          <w:color w:val="000000"/>
          <w:lang w:eastAsia="en-GB" w:bidi="en-GB"/>
        </w:rPr>
      </w:pPr>
      <w:r>
        <w:t>The relevant extract of the Judgment of the Hon’ble</w:t>
      </w:r>
      <w:r w:rsidR="004D0BB5">
        <w:t xml:space="preserve"> SC </w:t>
      </w:r>
      <w:r>
        <w:t>is reproduced belo</w:t>
      </w:r>
      <w:r w:rsidR="00C064D8">
        <w:t>w with relevant portion underlined:</w:t>
      </w:r>
    </w:p>
    <w:p w:rsidR="001A7877" w:rsidRPr="008B20FE" w:rsidRDefault="001A7877" w:rsidP="001A7877">
      <w:pPr>
        <w:rPr>
          <w:lang w:val="en-GB"/>
        </w:rPr>
      </w:pPr>
    </w:p>
    <w:p w:rsidR="001A7877" w:rsidRDefault="001A7877" w:rsidP="001A7877">
      <w:pPr>
        <w:pStyle w:val="Verbatium"/>
        <w:rPr>
          <w:lang w:val="en-GB"/>
        </w:rPr>
      </w:pPr>
      <w:r>
        <w:rPr>
          <w:lang w:val="en-GB"/>
        </w:rPr>
        <w:t xml:space="preserve">“6. </w:t>
      </w:r>
      <w:r>
        <w:rPr>
          <w:lang w:val="en-GB"/>
        </w:rPr>
        <w:tab/>
        <w:t>We are of the view that the Commission vide Order dated 27.04.2015 on the joint application of the parties dated 26.02.2014 rightly fixed the tariff but the view taken in subsequent order dated 21.03.2016 which has been upheld on appeal is unsustainable.</w:t>
      </w:r>
    </w:p>
    <w:p w:rsidR="001A7877" w:rsidRPr="00C064D8" w:rsidRDefault="001A7877" w:rsidP="001A7877">
      <w:pPr>
        <w:pStyle w:val="Verbatium"/>
        <w:rPr>
          <w:u w:val="single"/>
          <w:lang w:val="en-GB"/>
        </w:rPr>
      </w:pPr>
      <w:r w:rsidRPr="008C7FFB">
        <w:rPr>
          <w:lang w:val="en-GB"/>
        </w:rPr>
        <w:t xml:space="preserve">7. </w:t>
      </w:r>
      <w:r w:rsidRPr="008C7FFB">
        <w:rPr>
          <w:lang w:val="en-GB"/>
        </w:rPr>
        <w:tab/>
      </w:r>
      <w:r w:rsidRPr="00C064D8">
        <w:rPr>
          <w:u w:val="single"/>
          <w:lang w:val="en-GB"/>
        </w:rPr>
        <w:t>Accordingly, we set aside the impugned order and remand the matter to the State Commission for fresh decision. The State Commission may take into account the Notification dated 21.06.2008 for the fixed costs, the PPA for the variable costs specified therein and for other costs not reflected in the PPA, statutory Regulations may be applied.</w:t>
      </w:r>
    </w:p>
    <w:p w:rsidR="001A7877" w:rsidRDefault="001A7877" w:rsidP="001A7877">
      <w:pPr>
        <w:pStyle w:val="Verbatium"/>
        <w:rPr>
          <w:lang w:val="en-GB"/>
        </w:rPr>
      </w:pPr>
      <w:r>
        <w:rPr>
          <w:lang w:val="en-GB"/>
        </w:rPr>
        <w:t>8.</w:t>
      </w:r>
      <w:r>
        <w:rPr>
          <w:lang w:val="en-GB"/>
        </w:rPr>
        <w:tab/>
        <w:t>The appeal shall stand disposed of as indicated above.</w:t>
      </w:r>
    </w:p>
    <w:p w:rsidR="001A7877" w:rsidRPr="00D32852" w:rsidRDefault="001A7877" w:rsidP="001A7877">
      <w:pPr>
        <w:pStyle w:val="Verbatium"/>
        <w:rPr>
          <w:lang w:val="en-GB"/>
        </w:rPr>
      </w:pPr>
      <w:r>
        <w:rPr>
          <w:lang w:val="en-GB"/>
        </w:rPr>
        <w:t>9.</w:t>
      </w:r>
      <w:r>
        <w:rPr>
          <w:lang w:val="en-GB"/>
        </w:rPr>
        <w:tab/>
        <w:t>The parties may appear before the State Commission for further proceedings on 2.07.2018.”</w:t>
      </w:r>
    </w:p>
    <w:p w:rsidR="001A7877" w:rsidRPr="00F972D7" w:rsidRDefault="001A7877" w:rsidP="001A7877">
      <w:pPr>
        <w:pStyle w:val="Heading2"/>
        <w:numPr>
          <w:ilvl w:val="0"/>
          <w:numId w:val="0"/>
        </w:numPr>
      </w:pPr>
    </w:p>
    <w:p w:rsidR="001A7877" w:rsidRDefault="001A7877" w:rsidP="001A7877">
      <w:pPr>
        <w:pStyle w:val="Heading2"/>
      </w:pPr>
      <w:r>
        <w:t xml:space="preserve">Further, Hon’ble OERC vide its Order dated May </w:t>
      </w:r>
      <w:r w:rsidR="004E7148">
        <w:t>5</w:t>
      </w:r>
      <w:r>
        <w:t>, 2018 in Case No. 43 of 2017 ruled as under:</w:t>
      </w:r>
    </w:p>
    <w:p w:rsidR="001A7877" w:rsidRPr="00BB0C6F" w:rsidRDefault="001A7877" w:rsidP="001A7877">
      <w:pPr>
        <w:pStyle w:val="Verbatium"/>
        <w:rPr>
          <w:szCs w:val="24"/>
        </w:rPr>
      </w:pPr>
      <w:r w:rsidRPr="00BB0C6F">
        <w:rPr>
          <w:szCs w:val="24"/>
        </w:rPr>
        <w:t xml:space="preserve">“4. Heard the parties at length. As the Hon’ble Supreme Court vide their order dated 19.04.2018 in Civil Appeal No. 9485/2017 has set aside the </w:t>
      </w:r>
      <w:r>
        <w:rPr>
          <w:szCs w:val="24"/>
        </w:rPr>
        <w:t>order dated 21.03.2016 passed by the Commission and remanded the matter for fresh decision, OPGC Ltd. is required to file fresh application for determination of Generation Tariff of its Unit-I &amp; II within 15 days from date of this order. Basing on the said application of OPGC Ltd., a public notice shall be issued inviting suggestions /objections from the general public for re-determination of generation tariff for FY 2016-17 &amp; FY 2017-18 which would be completed within one month fixing the date of hearing on 02.07.2018.”</w:t>
      </w:r>
    </w:p>
    <w:p w:rsidR="001A7877" w:rsidRDefault="001A7877" w:rsidP="001A7877">
      <w:pPr>
        <w:widowControl w:val="0"/>
        <w:rPr>
          <w:szCs w:val="24"/>
        </w:rPr>
      </w:pPr>
    </w:p>
    <w:p w:rsidR="0090269D" w:rsidRDefault="0090269D" w:rsidP="0090269D">
      <w:pPr>
        <w:pStyle w:val="Heading2"/>
      </w:pPr>
      <w:r>
        <w:t xml:space="preserve">In accordance with the above, OPGC has filed the Petitions for Re-determination of Tariff for FY 2016-17, FY 2017-18 and FY 2018-19 before the Hon’ble OERC on May 25, 2018 considering the original project cost as per the approved Amended PPA. The said Petitions were numbered as Case No. 33 of 2018 and the regulatory proceedings are </w:t>
      </w:r>
      <w:r w:rsidR="001008B7">
        <w:t>in progress.</w:t>
      </w:r>
    </w:p>
    <w:p w:rsidR="0090269D" w:rsidRPr="0090269D" w:rsidRDefault="0090269D" w:rsidP="0090269D">
      <w:pPr>
        <w:rPr>
          <w:lang w:val="en-GB"/>
        </w:rPr>
      </w:pPr>
    </w:p>
    <w:p w:rsidR="0090269D" w:rsidRDefault="0090269D" w:rsidP="0090269D">
      <w:pPr>
        <w:pStyle w:val="Heading2"/>
      </w:pPr>
      <w:r>
        <w:t>Subsequently, OPGC filed a separate Petition numbered as Case No. 54 of 2018, for approval of additional capitalisation for FY 2015-16, FY 2016-17, FY 2017-18 and FY 2018-19 in compliance to the Commission’s directive in the Tariff Order for FY 2018-19 dated March 22, 2018</w:t>
      </w:r>
      <w:r w:rsidR="009750D3">
        <w:t xml:space="preserve"> and Hon’ble S</w:t>
      </w:r>
      <w:r w:rsidR="006645B1">
        <w:t xml:space="preserve">upreme </w:t>
      </w:r>
      <w:r w:rsidR="009750D3">
        <w:t>C</w:t>
      </w:r>
      <w:r w:rsidR="006645B1">
        <w:t>ourt</w:t>
      </w:r>
      <w:r w:rsidR="009750D3">
        <w:t xml:space="preserve"> order in Civil Appeal No. 9485/2017 dated April 19, 2018</w:t>
      </w:r>
      <w:r>
        <w:t xml:space="preserve">. The regulatory proceedings in the said Case are </w:t>
      </w:r>
      <w:r w:rsidR="001008B7">
        <w:t>in progress</w:t>
      </w:r>
      <w:r>
        <w:t>.</w:t>
      </w:r>
    </w:p>
    <w:p w:rsidR="0090269D" w:rsidRPr="0090269D" w:rsidRDefault="0090269D" w:rsidP="0090269D">
      <w:pPr>
        <w:rPr>
          <w:lang w:val="en-GB"/>
        </w:rPr>
      </w:pPr>
    </w:p>
    <w:p w:rsidR="003D4C77" w:rsidRDefault="0090269D" w:rsidP="0090269D">
      <w:pPr>
        <w:pStyle w:val="Heading2"/>
      </w:pPr>
      <w:r>
        <w:rPr>
          <w:szCs w:val="24"/>
        </w:rPr>
        <w:t xml:space="preserve">In line with the approach adopted in Petitions </w:t>
      </w:r>
      <w:r w:rsidR="00195627">
        <w:rPr>
          <w:szCs w:val="24"/>
        </w:rPr>
        <w:t xml:space="preserve">filed </w:t>
      </w:r>
      <w:r>
        <w:rPr>
          <w:szCs w:val="24"/>
        </w:rPr>
        <w:t>in Case No. 33 of 2018 and Case No. 54 of 2018, OPGC is filing the instant Petition for approval of Generation Tariff for FY 2019-20.</w:t>
      </w:r>
    </w:p>
    <w:p w:rsidR="00A9413B" w:rsidRPr="00F972D7" w:rsidRDefault="00A9413B" w:rsidP="00125ADD">
      <w:pPr>
        <w:widowControl w:val="0"/>
        <w:spacing w:line="240" w:lineRule="auto"/>
      </w:pPr>
      <w:bookmarkStart w:id="35" w:name="_Toc417712306"/>
      <w:bookmarkStart w:id="36" w:name="_Toc417712530"/>
      <w:bookmarkStart w:id="37" w:name="_Toc417712755"/>
      <w:bookmarkStart w:id="38" w:name="_Toc417712956"/>
      <w:bookmarkStart w:id="39" w:name="_Toc417713153"/>
      <w:bookmarkStart w:id="40" w:name="_Toc417713349"/>
      <w:bookmarkStart w:id="41" w:name="_Toc417713541"/>
      <w:bookmarkStart w:id="42" w:name="_Toc417713723"/>
      <w:bookmarkStart w:id="43" w:name="_Toc417713901"/>
      <w:bookmarkStart w:id="44" w:name="_Toc417714079"/>
      <w:bookmarkStart w:id="45" w:name="_Toc417714244"/>
      <w:bookmarkStart w:id="46" w:name="_Toc417714333"/>
      <w:bookmarkStart w:id="47" w:name="_Toc417714421"/>
      <w:bookmarkStart w:id="48" w:name="_Toc417907500"/>
      <w:bookmarkStart w:id="49" w:name="_Toc417907635"/>
      <w:bookmarkStart w:id="50" w:name="_Toc417915634"/>
      <w:bookmarkStart w:id="51" w:name="_Toc417712307"/>
      <w:bookmarkStart w:id="52" w:name="_Toc417712531"/>
      <w:bookmarkStart w:id="53" w:name="_Toc417712756"/>
      <w:bookmarkStart w:id="54" w:name="_Toc417712957"/>
      <w:bookmarkStart w:id="55" w:name="_Toc417713154"/>
      <w:bookmarkStart w:id="56" w:name="_Toc417713350"/>
      <w:bookmarkStart w:id="57" w:name="_Toc417713542"/>
      <w:bookmarkStart w:id="58" w:name="_Toc417713724"/>
      <w:bookmarkStart w:id="59" w:name="_Toc417713902"/>
      <w:bookmarkStart w:id="60" w:name="_Toc417714080"/>
      <w:bookmarkStart w:id="61" w:name="_Toc417714245"/>
      <w:bookmarkStart w:id="62" w:name="_Toc417714334"/>
      <w:bookmarkStart w:id="63" w:name="_Toc417714422"/>
      <w:bookmarkStart w:id="64" w:name="_Toc417907501"/>
      <w:bookmarkStart w:id="65" w:name="_Toc417907636"/>
      <w:bookmarkStart w:id="66" w:name="_Toc417915635"/>
      <w:bookmarkStart w:id="67" w:name="_Toc336253715"/>
      <w:bookmarkStart w:id="68" w:name="_Toc336254117"/>
      <w:bookmarkStart w:id="69" w:name="_Toc336254517"/>
      <w:bookmarkStart w:id="70" w:name="_Toc336254914"/>
      <w:bookmarkStart w:id="71" w:name="_Toc336255307"/>
      <w:bookmarkStart w:id="72" w:name="_Toc336255701"/>
      <w:bookmarkStart w:id="73" w:name="_Toc336256092"/>
      <w:bookmarkStart w:id="74" w:name="_Toc33905381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AD18E4" w:rsidRDefault="00830CA3" w:rsidP="00830CA3">
      <w:pPr>
        <w:pStyle w:val="Heading2"/>
      </w:pPr>
      <w:r>
        <w:t>The Petition is structured in the following manner:</w:t>
      </w:r>
    </w:p>
    <w:p w:rsidR="00830CA3" w:rsidRDefault="00830CA3" w:rsidP="00830CA3">
      <w:pPr>
        <w:pStyle w:val="ListParagraph"/>
        <w:numPr>
          <w:ilvl w:val="0"/>
          <w:numId w:val="45"/>
        </w:numPr>
      </w:pPr>
      <w:r>
        <w:t>Section 1 (This Section): Introduction</w:t>
      </w:r>
    </w:p>
    <w:p w:rsidR="00830CA3" w:rsidRDefault="00830CA3" w:rsidP="00830CA3">
      <w:pPr>
        <w:pStyle w:val="ListParagraph"/>
        <w:numPr>
          <w:ilvl w:val="0"/>
          <w:numId w:val="45"/>
        </w:numPr>
      </w:pPr>
      <w:r>
        <w:t>Section 2: Overall Approach for Filing Petition</w:t>
      </w:r>
    </w:p>
    <w:p w:rsidR="00830CA3" w:rsidRDefault="00830CA3" w:rsidP="00830CA3">
      <w:pPr>
        <w:pStyle w:val="ListParagraph"/>
        <w:numPr>
          <w:ilvl w:val="0"/>
          <w:numId w:val="45"/>
        </w:numPr>
      </w:pPr>
      <w:r>
        <w:t xml:space="preserve">Section 3: </w:t>
      </w:r>
      <w:r w:rsidR="00684BA1">
        <w:t>Generation Tariff for FY 2019-20 considering original project cost</w:t>
      </w:r>
    </w:p>
    <w:p w:rsidR="00246109" w:rsidRDefault="00246109" w:rsidP="00830CA3">
      <w:pPr>
        <w:pStyle w:val="ListParagraph"/>
        <w:numPr>
          <w:ilvl w:val="0"/>
          <w:numId w:val="45"/>
        </w:numPr>
      </w:pPr>
      <w:r>
        <w:t>Section 4:</w:t>
      </w:r>
      <w:r w:rsidR="00684BA1">
        <w:t xml:space="preserve"> Additional Capitalisation for FY 2019-20</w:t>
      </w:r>
    </w:p>
    <w:p w:rsidR="00246109" w:rsidRDefault="00246109" w:rsidP="00830CA3">
      <w:pPr>
        <w:pStyle w:val="ListParagraph"/>
        <w:numPr>
          <w:ilvl w:val="0"/>
          <w:numId w:val="45"/>
        </w:numPr>
      </w:pPr>
      <w:r>
        <w:t>Section 5:</w:t>
      </w:r>
      <w:r w:rsidR="00684BA1">
        <w:t xml:space="preserve"> Impact of Additional Capitalisation</w:t>
      </w:r>
    </w:p>
    <w:p w:rsidR="00246109" w:rsidRDefault="00246109" w:rsidP="00830CA3">
      <w:pPr>
        <w:pStyle w:val="ListParagraph"/>
        <w:numPr>
          <w:ilvl w:val="0"/>
          <w:numId w:val="45"/>
        </w:numPr>
      </w:pPr>
      <w:r>
        <w:t>Section 6:</w:t>
      </w:r>
      <w:r w:rsidR="00684BA1">
        <w:t xml:space="preserve"> Summary of Tariff Proposal for FY 2019-20</w:t>
      </w:r>
    </w:p>
    <w:p w:rsidR="00246109" w:rsidRPr="00830CA3" w:rsidRDefault="00246109" w:rsidP="00830CA3">
      <w:pPr>
        <w:pStyle w:val="ListParagraph"/>
        <w:numPr>
          <w:ilvl w:val="0"/>
          <w:numId w:val="45"/>
        </w:numPr>
      </w:pPr>
      <w:r>
        <w:t>Section 7:</w:t>
      </w:r>
      <w:r w:rsidR="00684BA1">
        <w:t xml:space="preserve"> Prayers</w:t>
      </w:r>
    </w:p>
    <w:p w:rsidR="00A9413B" w:rsidRPr="00F972D7" w:rsidRDefault="00A9413B">
      <w:pPr>
        <w:spacing w:line="240" w:lineRule="auto"/>
        <w:rPr>
          <w:rFonts w:eastAsia="Times New Roman"/>
          <w:b/>
          <w:bCs/>
          <w:kern w:val="32"/>
          <w:sz w:val="28"/>
          <w:szCs w:val="32"/>
          <w:lang w:val="en-GB"/>
        </w:rPr>
      </w:pPr>
      <w:bookmarkStart w:id="75" w:name="_Toc436552893"/>
      <w:r w:rsidRPr="00F972D7">
        <w:br w:type="page"/>
      </w:r>
    </w:p>
    <w:p w:rsidR="005B5561" w:rsidRPr="00F972D7" w:rsidRDefault="00FB04A9">
      <w:pPr>
        <w:pStyle w:val="Heading1"/>
      </w:pPr>
      <w:bookmarkStart w:id="76" w:name="_Toc530491637"/>
      <w:bookmarkStart w:id="77" w:name="_Toc530497530"/>
      <w:r w:rsidRPr="00F972D7">
        <w:t>Overall Approach for Filing Petition</w:t>
      </w:r>
      <w:bookmarkEnd w:id="75"/>
      <w:bookmarkEnd w:id="76"/>
      <w:bookmarkEnd w:id="77"/>
    </w:p>
    <w:bookmarkEnd w:id="74"/>
    <w:p w:rsidR="00AD18E4" w:rsidRPr="00F972D7" w:rsidRDefault="00AD18E4" w:rsidP="00125ADD">
      <w:pPr>
        <w:widowControl w:val="0"/>
        <w:ind w:left="432"/>
        <w:rPr>
          <w:sz w:val="22"/>
        </w:rPr>
      </w:pPr>
    </w:p>
    <w:p w:rsidR="00AD18E4" w:rsidRPr="00F972D7" w:rsidRDefault="00CC0AC4" w:rsidP="00125ADD">
      <w:pPr>
        <w:pStyle w:val="Heading2"/>
      </w:pPr>
      <w:bookmarkStart w:id="78" w:name="_Toc436552894"/>
      <w:r w:rsidRPr="00F972D7">
        <w:t xml:space="preserve">The </w:t>
      </w:r>
      <w:r w:rsidR="001029B8">
        <w:t>instant</w:t>
      </w:r>
      <w:r w:rsidR="00751171">
        <w:t xml:space="preserve"> </w:t>
      </w:r>
      <w:r w:rsidRPr="00F972D7">
        <w:t xml:space="preserve">Petition has been filed for determination of Generation Tariff for </w:t>
      </w:r>
      <w:r w:rsidR="001F6270">
        <w:t>FY 201</w:t>
      </w:r>
      <w:r w:rsidR="0002499D">
        <w:t>9</w:t>
      </w:r>
      <w:r w:rsidR="001F6270">
        <w:t>-</w:t>
      </w:r>
      <w:r w:rsidR="0002499D">
        <w:t>20</w:t>
      </w:r>
      <w:r w:rsidR="001F6270">
        <w:t xml:space="preserve"> for </w:t>
      </w:r>
      <w:r w:rsidRPr="00F972D7">
        <w:t>IB Thermal Power Station of OPGC Ltd.</w:t>
      </w:r>
      <w:r w:rsidR="00A27F7B" w:rsidRPr="00F972D7">
        <w:t>,</w:t>
      </w:r>
      <w:r w:rsidRPr="00F972D7">
        <w:t xml:space="preserve"> having installed capacity of 420 MW (2 x 210 MW</w:t>
      </w:r>
      <w:r w:rsidR="00080F91" w:rsidRPr="00F972D7">
        <w:t>- Unit 1 &amp; 2</w:t>
      </w:r>
      <w:r w:rsidRPr="00F972D7">
        <w:t>), located at Banharpalli</w:t>
      </w:r>
      <w:r w:rsidR="00751171">
        <w:t xml:space="preserve"> </w:t>
      </w:r>
      <w:r w:rsidR="00A27F7B" w:rsidRPr="00F972D7">
        <w:t>in</w:t>
      </w:r>
      <w:r w:rsidR="00751171">
        <w:t xml:space="preserve"> </w:t>
      </w:r>
      <w:r w:rsidR="00A27F7B" w:rsidRPr="00F972D7">
        <w:t>District Jharsuguda.</w:t>
      </w:r>
      <w:bookmarkEnd w:id="78"/>
    </w:p>
    <w:p w:rsidR="00AD18E4" w:rsidRPr="00F972D7" w:rsidRDefault="00AD18E4" w:rsidP="00125ADD">
      <w:pPr>
        <w:pStyle w:val="Heading2"/>
        <w:numPr>
          <w:ilvl w:val="0"/>
          <w:numId w:val="0"/>
        </w:numPr>
        <w:ind w:left="576"/>
      </w:pPr>
    </w:p>
    <w:p w:rsidR="000624F8" w:rsidRDefault="000624F8" w:rsidP="000624F8">
      <w:pPr>
        <w:pStyle w:val="Heading2"/>
      </w:pPr>
      <w:bookmarkStart w:id="79" w:name="_Ref436491660"/>
      <w:bookmarkStart w:id="80" w:name="_Toc436552895"/>
      <w:r>
        <w:t>Hon’ble</w:t>
      </w:r>
      <w:r w:rsidR="00751171">
        <w:t xml:space="preserve"> </w:t>
      </w:r>
      <w:r w:rsidR="006645B1">
        <w:t>Supreme Court</w:t>
      </w:r>
      <w:r w:rsidR="00751171">
        <w:t xml:space="preserve"> </w:t>
      </w:r>
      <w:r>
        <w:t xml:space="preserve">vide its Judgment dated April 19, 2018 </w:t>
      </w:r>
      <w:r w:rsidR="00116776">
        <w:t>in</w:t>
      </w:r>
      <w:r>
        <w:t xml:space="preserve"> remand</w:t>
      </w:r>
      <w:r w:rsidR="00116776">
        <w:t>ing</w:t>
      </w:r>
      <w:r>
        <w:t xml:space="preserve"> the matter to Hon’ble OERC for fresh decision</w:t>
      </w:r>
      <w:r w:rsidR="00116776">
        <w:t xml:space="preserve"> ruled as under</w:t>
      </w:r>
      <w:r>
        <w:t>:</w:t>
      </w:r>
    </w:p>
    <w:p w:rsidR="000624F8" w:rsidRPr="008B20FE" w:rsidRDefault="000624F8" w:rsidP="000624F8">
      <w:pPr>
        <w:rPr>
          <w:lang w:val="en-GB"/>
        </w:rPr>
      </w:pPr>
    </w:p>
    <w:p w:rsidR="000624F8" w:rsidRDefault="000624F8" w:rsidP="000624F8">
      <w:pPr>
        <w:pStyle w:val="Verbatium"/>
        <w:rPr>
          <w:lang w:val="en-GB"/>
        </w:rPr>
      </w:pPr>
      <w:r>
        <w:rPr>
          <w:lang w:val="en-GB"/>
        </w:rPr>
        <w:t xml:space="preserve">“6. </w:t>
      </w:r>
      <w:r>
        <w:rPr>
          <w:lang w:val="en-GB"/>
        </w:rPr>
        <w:tab/>
        <w:t>We are of the view that the Commission vide Order dated 27.04.2015 on the joint application of the parties dated 26.02.2014 rightly fixed the tariff but the view taken in subsequent order dated 21.03.2016 which has been upheld on appeal is unsustainable.</w:t>
      </w:r>
    </w:p>
    <w:p w:rsidR="000624F8" w:rsidRDefault="000624F8" w:rsidP="000624F8">
      <w:pPr>
        <w:pStyle w:val="Verbatium"/>
        <w:rPr>
          <w:lang w:val="en-GB"/>
        </w:rPr>
      </w:pPr>
      <w:r>
        <w:rPr>
          <w:lang w:val="en-GB"/>
        </w:rPr>
        <w:t xml:space="preserve">7. </w:t>
      </w:r>
      <w:r>
        <w:rPr>
          <w:lang w:val="en-GB"/>
        </w:rPr>
        <w:tab/>
        <w:t>Accordingly, we set aside the impugned order and remand the matter to the State Commission for fresh decision. The State Commission may take into account the Notification dated 21.06.2008 for the fixed costs, the PPA for the variable costs specified therein and for other costs not reflected in the PPA, statutory Regulations may be applied.</w:t>
      </w:r>
    </w:p>
    <w:p w:rsidR="000624F8" w:rsidRDefault="000624F8" w:rsidP="000624F8">
      <w:pPr>
        <w:pStyle w:val="Verbatium"/>
        <w:rPr>
          <w:lang w:val="en-GB"/>
        </w:rPr>
      </w:pPr>
      <w:r>
        <w:rPr>
          <w:lang w:val="en-GB"/>
        </w:rPr>
        <w:t>8.</w:t>
      </w:r>
      <w:r>
        <w:rPr>
          <w:lang w:val="en-GB"/>
        </w:rPr>
        <w:tab/>
        <w:t>The appeal shall stand disposed of as indicated above.</w:t>
      </w:r>
      <w:r w:rsidR="00072665">
        <w:rPr>
          <w:lang w:val="en-GB"/>
        </w:rPr>
        <w:t>”</w:t>
      </w:r>
    </w:p>
    <w:p w:rsidR="000624F8" w:rsidRDefault="000624F8" w:rsidP="000624F8"/>
    <w:p w:rsidR="00AD18E4" w:rsidRPr="00F972D7" w:rsidRDefault="00072665" w:rsidP="00125ADD">
      <w:pPr>
        <w:pStyle w:val="Heading2"/>
      </w:pPr>
      <w:r>
        <w:t>Accordingly, t</w:t>
      </w:r>
      <w:r w:rsidR="00A27F7B" w:rsidRPr="00F972D7">
        <w:t xml:space="preserve">he </w:t>
      </w:r>
      <w:r w:rsidR="000B6AFD">
        <w:t>instant</w:t>
      </w:r>
      <w:r w:rsidR="00751171">
        <w:t xml:space="preserve"> </w:t>
      </w:r>
      <w:r w:rsidR="00A27F7B" w:rsidRPr="00F972D7">
        <w:t>Petition has been filed based on the following agreements</w:t>
      </w:r>
      <w:r w:rsidR="00751171">
        <w:t xml:space="preserve"> </w:t>
      </w:r>
      <w:r w:rsidR="00A27F7B" w:rsidRPr="00F972D7">
        <w:t>entered between the parties:</w:t>
      </w:r>
      <w:bookmarkEnd w:id="79"/>
      <w:bookmarkEnd w:id="80"/>
    </w:p>
    <w:p w:rsidR="00DD091E" w:rsidRDefault="00A27F7B">
      <w:pPr>
        <w:pStyle w:val="ListParagraph"/>
        <w:numPr>
          <w:ilvl w:val="0"/>
          <w:numId w:val="8"/>
        </w:numPr>
      </w:pPr>
      <w:r w:rsidRPr="00F972D7">
        <w:t xml:space="preserve">Bulk Power Supply Agreement between </w:t>
      </w:r>
      <w:r w:rsidR="00AC01D7" w:rsidRPr="00F972D7">
        <w:t>OPGC</w:t>
      </w:r>
      <w:r w:rsidRPr="00F972D7">
        <w:t xml:space="preserve"> and GRIDCO, dated August 13, </w:t>
      </w:r>
      <w:r w:rsidR="006C307E" w:rsidRPr="00F972D7">
        <w:t>199</w:t>
      </w:r>
      <w:r w:rsidR="006C307E">
        <w:t>6</w:t>
      </w:r>
      <w:r w:rsidR="004D0BB5">
        <w:t xml:space="preserve"> (“PPA”)</w:t>
      </w:r>
      <w:r w:rsidR="00751171">
        <w:t xml:space="preserve"> </w:t>
      </w:r>
      <w:r w:rsidRPr="00F972D7">
        <w:t xml:space="preserve">and </w:t>
      </w:r>
      <w:r w:rsidR="00C84534" w:rsidRPr="00F972D7">
        <w:t xml:space="preserve">an agreement as </w:t>
      </w:r>
      <w:r w:rsidR="00E10527" w:rsidRPr="00F972D7">
        <w:t>Supplementa</w:t>
      </w:r>
      <w:r w:rsidR="00C84534" w:rsidRPr="00F972D7">
        <w:t>l</w:t>
      </w:r>
      <w:r w:rsidR="00751171">
        <w:t xml:space="preserve"> </w:t>
      </w:r>
      <w:r w:rsidR="00C84534" w:rsidRPr="00F972D7">
        <w:t xml:space="preserve">to Bulk Power Supply </w:t>
      </w:r>
      <w:r w:rsidRPr="00F972D7">
        <w:t>Agreement dated December 19, 2012</w:t>
      </w:r>
      <w:r w:rsidR="004D0BB5">
        <w:t xml:space="preserve"> (“Amended PPA”).</w:t>
      </w:r>
      <w:r w:rsidR="00C84534" w:rsidRPr="00F972D7">
        <w:t xml:space="preserve"> Both agreements</w:t>
      </w:r>
      <w:r w:rsidR="00751171">
        <w:t xml:space="preserve"> </w:t>
      </w:r>
      <w:r w:rsidR="00C84534" w:rsidRPr="00F972D7">
        <w:t>were</w:t>
      </w:r>
      <w:r w:rsidRPr="00F972D7">
        <w:t xml:space="preserve"> approved b</w:t>
      </w:r>
      <w:r w:rsidR="004D0BB5">
        <w:t>y the Hon’ble OERC</w:t>
      </w:r>
      <w:r w:rsidR="00991F2E">
        <w:t xml:space="preserve"> </w:t>
      </w:r>
      <w:r w:rsidRPr="00F972D7">
        <w:t xml:space="preserve">vide its Order dated </w:t>
      </w:r>
      <w:r w:rsidR="00A112F0" w:rsidRPr="00F972D7">
        <w:t>April 27, 2015</w:t>
      </w:r>
      <w:r w:rsidRPr="00F972D7">
        <w:t>.</w:t>
      </w:r>
    </w:p>
    <w:p w:rsidR="002F1F6B" w:rsidRDefault="00A27F7B">
      <w:pPr>
        <w:pStyle w:val="ListParagraph"/>
        <w:numPr>
          <w:ilvl w:val="0"/>
          <w:numId w:val="8"/>
        </w:numPr>
      </w:pPr>
      <w:r w:rsidRPr="00F972D7">
        <w:t xml:space="preserve">Tripartite Agreement </w:t>
      </w:r>
      <w:r w:rsidR="00080F91" w:rsidRPr="00F972D7">
        <w:t xml:space="preserve">between </w:t>
      </w:r>
      <w:r w:rsidR="00AC01D7" w:rsidRPr="00F972D7">
        <w:t>OPGC</w:t>
      </w:r>
      <w:r w:rsidR="00080F91" w:rsidRPr="00F972D7">
        <w:t>, GRIDCO and Government of Odisha dated October 18, 199</w:t>
      </w:r>
      <w:r w:rsidR="004D0BB5">
        <w:t>8 (“Tripartite Agreement”)</w:t>
      </w:r>
    </w:p>
    <w:p w:rsidR="002F1F6B" w:rsidRDefault="002F1F6B">
      <w:pPr>
        <w:pStyle w:val="ListParagraph"/>
        <w:numPr>
          <w:ilvl w:val="0"/>
          <w:numId w:val="8"/>
        </w:numPr>
      </w:pPr>
      <w:r>
        <w:t>Govt. of Orissa</w:t>
      </w:r>
      <w:r w:rsidR="004D0BB5">
        <w:t xml:space="preserve"> (“GoO”)</w:t>
      </w:r>
      <w:r>
        <w:t xml:space="preserve"> Notification No. </w:t>
      </w:r>
      <w:r w:rsidR="00F8168E">
        <w:t>7216/E dated June 21, 2008.</w:t>
      </w:r>
    </w:p>
    <w:p w:rsidR="00DD091E" w:rsidRDefault="002F1F6B">
      <w:pPr>
        <w:pStyle w:val="ListParagraph"/>
        <w:numPr>
          <w:ilvl w:val="0"/>
          <w:numId w:val="8"/>
        </w:numPr>
      </w:pPr>
      <w:r>
        <w:t>A</w:t>
      </w:r>
      <w:r w:rsidRPr="00F972D7">
        <w:t xml:space="preserve">greement </w:t>
      </w:r>
      <w:r w:rsidR="00C84534" w:rsidRPr="00F972D7">
        <w:t xml:space="preserve">as Supplemental to Tripartite Agreement </w:t>
      </w:r>
      <w:r w:rsidR="00080F91" w:rsidRPr="00F972D7">
        <w:t>dated September 6, 2012</w:t>
      </w:r>
      <w:r w:rsidR="004D0BB5">
        <w:t>(“Amended Tripartite Agreement”)</w:t>
      </w:r>
      <w:r w:rsidR="00080F91" w:rsidRPr="00F972D7">
        <w:t xml:space="preserve"> which was approved by Hon’ble </w:t>
      </w:r>
      <w:r w:rsidR="00CB68B3" w:rsidRPr="00F972D7">
        <w:t xml:space="preserve">OERC </w:t>
      </w:r>
      <w:r w:rsidR="00080F91" w:rsidRPr="00F972D7">
        <w:t xml:space="preserve">vide its Order dated </w:t>
      </w:r>
      <w:r w:rsidR="00A112F0" w:rsidRPr="00F972D7">
        <w:t>April 27, 2015</w:t>
      </w:r>
      <w:r w:rsidR="00080F91" w:rsidRPr="00F972D7">
        <w:t>.</w:t>
      </w:r>
    </w:p>
    <w:p w:rsidR="00DD091E" w:rsidRDefault="00080F91">
      <w:pPr>
        <w:pStyle w:val="ListParagraph"/>
        <w:numPr>
          <w:ilvl w:val="0"/>
          <w:numId w:val="8"/>
        </w:numPr>
      </w:pPr>
      <w:r w:rsidRPr="00F972D7">
        <w:t xml:space="preserve">Escrow and </w:t>
      </w:r>
      <w:r w:rsidR="000E4A8A" w:rsidRPr="00F972D7">
        <w:t xml:space="preserve">Securitization </w:t>
      </w:r>
      <w:r w:rsidRPr="00F972D7">
        <w:t xml:space="preserve">Arrangement dated November 30, 1998 entered between </w:t>
      </w:r>
      <w:r w:rsidR="00AC01D7" w:rsidRPr="00F972D7">
        <w:t>OPGC</w:t>
      </w:r>
      <w:r w:rsidRPr="00F972D7">
        <w:t>, GRIDCO and Union Bank of India</w:t>
      </w:r>
      <w:r w:rsidR="00D27A61" w:rsidRPr="00F972D7">
        <w:t>, which was approved by Hon’ble OERC vide its Order dated April 27, 2015</w:t>
      </w:r>
      <w:r w:rsidRPr="00F972D7">
        <w:t xml:space="preserve">. </w:t>
      </w:r>
    </w:p>
    <w:p w:rsidR="00AD18E4" w:rsidRPr="00F972D7" w:rsidRDefault="00AD18E4" w:rsidP="00125ADD">
      <w:pPr>
        <w:pStyle w:val="Heading2"/>
        <w:numPr>
          <w:ilvl w:val="0"/>
          <w:numId w:val="0"/>
        </w:numPr>
        <w:ind w:left="666"/>
      </w:pPr>
      <w:bookmarkStart w:id="81" w:name="_Toc336253719"/>
      <w:bookmarkStart w:id="82" w:name="_Toc336254121"/>
      <w:bookmarkStart w:id="83" w:name="_Toc336254521"/>
      <w:bookmarkStart w:id="84" w:name="_Toc336254918"/>
      <w:bookmarkStart w:id="85" w:name="_Toc336255311"/>
      <w:bookmarkStart w:id="86" w:name="_Toc336255705"/>
      <w:bookmarkStart w:id="87" w:name="_Toc336256096"/>
      <w:bookmarkStart w:id="88" w:name="_Toc336253720"/>
      <w:bookmarkStart w:id="89" w:name="_Toc336254122"/>
      <w:bookmarkStart w:id="90" w:name="_Toc336254522"/>
      <w:bookmarkStart w:id="91" w:name="_Toc336254919"/>
      <w:bookmarkStart w:id="92" w:name="_Toc336255312"/>
      <w:bookmarkStart w:id="93" w:name="_Toc336255706"/>
      <w:bookmarkStart w:id="94" w:name="_Toc336256097"/>
      <w:bookmarkStart w:id="95" w:name="_Toc336253721"/>
      <w:bookmarkStart w:id="96" w:name="_Toc336254123"/>
      <w:bookmarkStart w:id="97" w:name="_Toc336254523"/>
      <w:bookmarkStart w:id="98" w:name="_Toc336254920"/>
      <w:bookmarkStart w:id="99" w:name="_Toc336255313"/>
      <w:bookmarkStart w:id="100" w:name="_Toc336255707"/>
      <w:bookmarkStart w:id="101" w:name="_Toc336256098"/>
      <w:bookmarkStart w:id="102" w:name="_Toc336253722"/>
      <w:bookmarkStart w:id="103" w:name="_Toc336254124"/>
      <w:bookmarkStart w:id="104" w:name="_Toc336254524"/>
      <w:bookmarkStart w:id="105" w:name="_Toc336254921"/>
      <w:bookmarkStart w:id="106" w:name="_Toc336255314"/>
      <w:bookmarkStart w:id="107" w:name="_Toc336255708"/>
      <w:bookmarkStart w:id="108" w:name="_Toc336256099"/>
      <w:bookmarkStart w:id="109" w:name="_Toc336253723"/>
      <w:bookmarkStart w:id="110" w:name="_Toc336254125"/>
      <w:bookmarkStart w:id="111" w:name="_Toc336254525"/>
      <w:bookmarkStart w:id="112" w:name="_Toc336254922"/>
      <w:bookmarkStart w:id="113" w:name="_Toc336255315"/>
      <w:bookmarkStart w:id="114" w:name="_Toc336255709"/>
      <w:bookmarkStart w:id="115" w:name="_Toc336256100"/>
      <w:bookmarkStart w:id="116" w:name="_Toc336253730"/>
      <w:bookmarkStart w:id="117" w:name="_Toc336254132"/>
      <w:bookmarkStart w:id="118" w:name="_Toc336254532"/>
      <w:bookmarkStart w:id="119" w:name="_Toc336254929"/>
      <w:bookmarkStart w:id="120" w:name="_Toc336255322"/>
      <w:bookmarkStart w:id="121" w:name="_Toc336255716"/>
      <w:bookmarkStart w:id="122" w:name="_Toc336256107"/>
      <w:bookmarkStart w:id="123" w:name="_Toc336253733"/>
      <w:bookmarkStart w:id="124" w:name="_Toc336254135"/>
      <w:bookmarkStart w:id="125" w:name="_Toc336254535"/>
      <w:bookmarkStart w:id="126" w:name="_Toc336254932"/>
      <w:bookmarkStart w:id="127" w:name="_Toc336255325"/>
      <w:bookmarkStart w:id="128" w:name="_Toc336255719"/>
      <w:bookmarkStart w:id="129" w:name="_Toc336256110"/>
      <w:bookmarkStart w:id="130" w:name="_Toc336253734"/>
      <w:bookmarkStart w:id="131" w:name="_Toc336254136"/>
      <w:bookmarkStart w:id="132" w:name="_Toc336254536"/>
      <w:bookmarkStart w:id="133" w:name="_Toc336254933"/>
      <w:bookmarkStart w:id="134" w:name="_Toc336255326"/>
      <w:bookmarkStart w:id="135" w:name="_Toc336255720"/>
      <w:bookmarkStart w:id="136" w:name="_Toc336256111"/>
      <w:bookmarkStart w:id="137" w:name="_Toc336253735"/>
      <w:bookmarkStart w:id="138" w:name="_Toc336254137"/>
      <w:bookmarkStart w:id="139" w:name="_Toc336254537"/>
      <w:bookmarkStart w:id="140" w:name="_Toc336254934"/>
      <w:bookmarkStart w:id="141" w:name="_Toc336255327"/>
      <w:bookmarkStart w:id="142" w:name="_Toc336255721"/>
      <w:bookmarkStart w:id="143" w:name="_Toc336256112"/>
      <w:bookmarkStart w:id="144" w:name="_Toc339051671"/>
      <w:bookmarkStart w:id="145" w:name="_Toc339052376"/>
      <w:bookmarkStart w:id="146" w:name="_Toc339053081"/>
      <w:bookmarkStart w:id="147" w:name="_Toc339053829"/>
      <w:bookmarkStart w:id="148" w:name="_Toc336253738"/>
      <w:bookmarkStart w:id="149" w:name="_Toc336254140"/>
      <w:bookmarkStart w:id="150" w:name="_Toc336254540"/>
      <w:bookmarkStart w:id="151" w:name="_Toc336254937"/>
      <w:bookmarkStart w:id="152" w:name="_Toc336255330"/>
      <w:bookmarkStart w:id="153" w:name="_Toc336255724"/>
      <w:bookmarkStart w:id="154" w:name="_Toc336256115"/>
      <w:bookmarkStart w:id="155" w:name="_Toc336253739"/>
      <w:bookmarkStart w:id="156" w:name="_Toc336254141"/>
      <w:bookmarkStart w:id="157" w:name="_Toc336254541"/>
      <w:bookmarkStart w:id="158" w:name="_Toc336254938"/>
      <w:bookmarkStart w:id="159" w:name="_Toc336255331"/>
      <w:bookmarkStart w:id="160" w:name="_Toc336255725"/>
      <w:bookmarkStart w:id="161" w:name="_Toc336256116"/>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AF1A02" w:rsidRDefault="00DD7DF5" w:rsidP="00E51B2D">
      <w:pPr>
        <w:pStyle w:val="Heading2"/>
      </w:pPr>
      <w:r>
        <w:rPr>
          <w:szCs w:val="24"/>
        </w:rPr>
        <w:t>In line with the approach adopted in Petitions filed in Case No. 33 of 2018 and Case No. 54 of 2018, OPGC is filing the instant Petition for approval of Generation Tariff for FY 2019-20</w:t>
      </w:r>
      <w:r w:rsidR="00E213C4">
        <w:rPr>
          <w:szCs w:val="24"/>
        </w:rPr>
        <w:t xml:space="preserve"> as under:</w:t>
      </w:r>
    </w:p>
    <w:p w:rsidR="00857214" w:rsidRDefault="00857214" w:rsidP="00857214">
      <w:pPr>
        <w:rPr>
          <w:lang w:val="en-GB"/>
        </w:rPr>
      </w:pPr>
    </w:p>
    <w:tbl>
      <w:tblPr>
        <w:tblStyle w:val="TableGrid"/>
        <w:tblW w:w="0" w:type="auto"/>
        <w:tblLook w:val="04A0"/>
      </w:tblPr>
      <w:tblGrid>
        <w:gridCol w:w="3135"/>
        <w:gridCol w:w="3135"/>
        <w:gridCol w:w="3136"/>
      </w:tblGrid>
      <w:tr w:rsidR="00417260" w:rsidTr="0030377E">
        <w:tc>
          <w:tcPr>
            <w:tcW w:w="3135" w:type="dxa"/>
            <w:shd w:val="clear" w:color="auto" w:fill="FABF8F" w:themeFill="accent6" w:themeFillTint="99"/>
          </w:tcPr>
          <w:p w:rsidR="00417260" w:rsidRPr="0030377E" w:rsidRDefault="003C7825" w:rsidP="0030377E">
            <w:pPr>
              <w:jc w:val="center"/>
              <w:rPr>
                <w:b/>
                <w:lang w:val="en-GB"/>
              </w:rPr>
            </w:pPr>
            <w:r w:rsidRPr="0030377E">
              <w:rPr>
                <w:b/>
                <w:lang w:val="en-GB"/>
              </w:rPr>
              <w:t>Tariff components</w:t>
            </w:r>
          </w:p>
        </w:tc>
        <w:tc>
          <w:tcPr>
            <w:tcW w:w="3135" w:type="dxa"/>
            <w:shd w:val="clear" w:color="auto" w:fill="FABF8F" w:themeFill="accent6" w:themeFillTint="99"/>
          </w:tcPr>
          <w:p w:rsidR="00417260" w:rsidRPr="0030377E" w:rsidRDefault="003C7825" w:rsidP="0030377E">
            <w:pPr>
              <w:jc w:val="center"/>
              <w:rPr>
                <w:b/>
                <w:lang w:val="en-GB"/>
              </w:rPr>
            </w:pPr>
            <w:r w:rsidRPr="0030377E">
              <w:rPr>
                <w:b/>
                <w:lang w:val="en-GB"/>
              </w:rPr>
              <w:t>Considering original project cost as per the Approved Amended PPA</w:t>
            </w:r>
          </w:p>
        </w:tc>
        <w:tc>
          <w:tcPr>
            <w:tcW w:w="3136" w:type="dxa"/>
            <w:shd w:val="clear" w:color="auto" w:fill="FABF8F" w:themeFill="accent6" w:themeFillTint="99"/>
          </w:tcPr>
          <w:p w:rsidR="00417260" w:rsidRPr="0030377E" w:rsidRDefault="00DE1B6D" w:rsidP="0030377E">
            <w:pPr>
              <w:jc w:val="center"/>
              <w:rPr>
                <w:b/>
                <w:lang w:val="en-GB"/>
              </w:rPr>
            </w:pPr>
            <w:r w:rsidRPr="0030377E">
              <w:rPr>
                <w:b/>
                <w:lang w:val="en-GB"/>
              </w:rPr>
              <w:t>Considering the additional capitalisation claimed in Case No. 54 of 2018 and in the instant petition</w:t>
            </w:r>
          </w:p>
        </w:tc>
      </w:tr>
      <w:tr w:rsidR="00DE1B6D" w:rsidTr="00417260">
        <w:tc>
          <w:tcPr>
            <w:tcW w:w="3135" w:type="dxa"/>
          </w:tcPr>
          <w:p w:rsidR="00DE1B6D" w:rsidRPr="00E75AD0" w:rsidRDefault="0030377E" w:rsidP="00857214">
            <w:pPr>
              <w:rPr>
                <w:b/>
                <w:lang w:val="en-GB"/>
              </w:rPr>
            </w:pPr>
            <w:r w:rsidRPr="00E75AD0">
              <w:rPr>
                <w:b/>
                <w:lang w:val="en-GB"/>
              </w:rPr>
              <w:t>Annual Fixed Cost</w:t>
            </w:r>
          </w:p>
        </w:tc>
        <w:tc>
          <w:tcPr>
            <w:tcW w:w="3135" w:type="dxa"/>
          </w:tcPr>
          <w:p w:rsidR="00DE1B6D" w:rsidRDefault="00DE1B6D" w:rsidP="00857214">
            <w:pPr>
              <w:rPr>
                <w:lang w:val="en-GB"/>
              </w:rPr>
            </w:pPr>
          </w:p>
        </w:tc>
        <w:tc>
          <w:tcPr>
            <w:tcW w:w="3136" w:type="dxa"/>
          </w:tcPr>
          <w:p w:rsidR="00DE1B6D" w:rsidRDefault="00DE1B6D" w:rsidP="00857214">
            <w:pPr>
              <w:rPr>
                <w:lang w:val="en-GB"/>
              </w:rPr>
            </w:pPr>
          </w:p>
        </w:tc>
      </w:tr>
      <w:tr w:rsidR="0030377E" w:rsidTr="00417260">
        <w:tc>
          <w:tcPr>
            <w:tcW w:w="3135" w:type="dxa"/>
          </w:tcPr>
          <w:p w:rsidR="0030377E" w:rsidRPr="006D213D" w:rsidRDefault="00E75AD0" w:rsidP="00857214">
            <w:pPr>
              <w:rPr>
                <w:i/>
                <w:lang w:val="en-GB"/>
              </w:rPr>
            </w:pPr>
            <w:r w:rsidRPr="006D213D">
              <w:rPr>
                <w:i/>
                <w:lang w:val="en-GB"/>
              </w:rPr>
              <w:t>O&amp;M expenses</w:t>
            </w:r>
          </w:p>
        </w:tc>
        <w:tc>
          <w:tcPr>
            <w:tcW w:w="3135" w:type="dxa"/>
          </w:tcPr>
          <w:p w:rsidR="0030377E" w:rsidRDefault="007F5EA0" w:rsidP="00111B8D">
            <w:pPr>
              <w:jc w:val="center"/>
              <w:rPr>
                <w:lang w:val="en-GB"/>
              </w:rPr>
            </w:pPr>
            <w:r>
              <w:rPr>
                <w:rFonts w:ascii="Segoe UI Symbol" w:hAnsi="Segoe UI Symbol"/>
                <w:lang w:val="en-GB"/>
              </w:rPr>
              <w:t>✓</w:t>
            </w:r>
          </w:p>
        </w:tc>
        <w:tc>
          <w:tcPr>
            <w:tcW w:w="3136" w:type="dxa"/>
          </w:tcPr>
          <w:p w:rsidR="0030377E" w:rsidRDefault="007F5EA0" w:rsidP="00111B8D">
            <w:pPr>
              <w:jc w:val="center"/>
              <w:rPr>
                <w:lang w:val="en-GB"/>
              </w:rPr>
            </w:pPr>
            <w:r>
              <w:rPr>
                <w:lang w:val="en-GB"/>
              </w:rPr>
              <w:t>×</w:t>
            </w:r>
          </w:p>
        </w:tc>
      </w:tr>
      <w:tr w:rsidR="00E75AD0" w:rsidTr="00417260">
        <w:tc>
          <w:tcPr>
            <w:tcW w:w="3135" w:type="dxa"/>
          </w:tcPr>
          <w:p w:rsidR="00E75AD0" w:rsidRPr="006D213D" w:rsidRDefault="00E75AD0" w:rsidP="00857214">
            <w:pPr>
              <w:rPr>
                <w:i/>
                <w:lang w:val="en-GB"/>
              </w:rPr>
            </w:pPr>
            <w:r w:rsidRPr="006D213D">
              <w:rPr>
                <w:i/>
                <w:lang w:val="en-GB"/>
              </w:rPr>
              <w:t>Depreciation</w:t>
            </w:r>
          </w:p>
        </w:tc>
        <w:tc>
          <w:tcPr>
            <w:tcW w:w="3135" w:type="dxa"/>
          </w:tcPr>
          <w:p w:rsidR="00E75AD0" w:rsidRDefault="007F5EA0" w:rsidP="00111B8D">
            <w:pPr>
              <w:jc w:val="center"/>
              <w:rPr>
                <w:lang w:val="en-GB"/>
              </w:rPr>
            </w:pPr>
            <w:r>
              <w:rPr>
                <w:lang w:val="en-GB"/>
              </w:rPr>
              <w:t>×</w:t>
            </w:r>
          </w:p>
        </w:tc>
        <w:tc>
          <w:tcPr>
            <w:tcW w:w="3136" w:type="dxa"/>
          </w:tcPr>
          <w:p w:rsidR="00E75AD0" w:rsidRDefault="007F5EA0" w:rsidP="00111B8D">
            <w:pPr>
              <w:jc w:val="center"/>
              <w:rPr>
                <w:lang w:val="en-GB"/>
              </w:rPr>
            </w:pPr>
            <w:r>
              <w:rPr>
                <w:rFonts w:ascii="Segoe UI Symbol" w:hAnsi="Segoe UI Symbol"/>
                <w:lang w:val="en-GB"/>
              </w:rPr>
              <w:t>✓</w:t>
            </w:r>
          </w:p>
        </w:tc>
      </w:tr>
      <w:tr w:rsidR="00E75AD0" w:rsidTr="00417260">
        <w:tc>
          <w:tcPr>
            <w:tcW w:w="3135" w:type="dxa"/>
          </w:tcPr>
          <w:p w:rsidR="00E75AD0" w:rsidRPr="006D213D" w:rsidRDefault="00E75AD0" w:rsidP="00857214">
            <w:pPr>
              <w:rPr>
                <w:i/>
                <w:lang w:val="en-GB"/>
              </w:rPr>
            </w:pPr>
            <w:r w:rsidRPr="006D213D">
              <w:rPr>
                <w:i/>
                <w:lang w:val="en-GB"/>
              </w:rPr>
              <w:t>Interest on loans</w:t>
            </w:r>
          </w:p>
        </w:tc>
        <w:tc>
          <w:tcPr>
            <w:tcW w:w="3135" w:type="dxa"/>
          </w:tcPr>
          <w:p w:rsidR="00E75AD0" w:rsidRDefault="007F5EA0" w:rsidP="00111B8D">
            <w:pPr>
              <w:jc w:val="center"/>
              <w:rPr>
                <w:lang w:val="en-GB"/>
              </w:rPr>
            </w:pPr>
            <w:r>
              <w:rPr>
                <w:lang w:val="en-GB"/>
              </w:rPr>
              <w:t>×</w:t>
            </w:r>
          </w:p>
        </w:tc>
        <w:tc>
          <w:tcPr>
            <w:tcW w:w="3136" w:type="dxa"/>
          </w:tcPr>
          <w:p w:rsidR="00E75AD0" w:rsidRDefault="007F5EA0" w:rsidP="00111B8D">
            <w:pPr>
              <w:jc w:val="center"/>
              <w:rPr>
                <w:lang w:val="en-GB"/>
              </w:rPr>
            </w:pPr>
            <w:r>
              <w:rPr>
                <w:rFonts w:ascii="Segoe UI Symbol" w:hAnsi="Segoe UI Symbol"/>
                <w:lang w:val="en-GB"/>
              </w:rPr>
              <w:t>✓</w:t>
            </w:r>
          </w:p>
        </w:tc>
      </w:tr>
      <w:tr w:rsidR="00E75AD0" w:rsidTr="00417260">
        <w:tc>
          <w:tcPr>
            <w:tcW w:w="3135" w:type="dxa"/>
          </w:tcPr>
          <w:p w:rsidR="00E75AD0" w:rsidRPr="006D213D" w:rsidRDefault="00E75AD0" w:rsidP="00857214">
            <w:pPr>
              <w:rPr>
                <w:i/>
                <w:lang w:val="en-GB"/>
              </w:rPr>
            </w:pPr>
            <w:r w:rsidRPr="006D213D">
              <w:rPr>
                <w:i/>
                <w:lang w:val="en-GB"/>
              </w:rPr>
              <w:t>Interest on working capital</w:t>
            </w:r>
          </w:p>
        </w:tc>
        <w:tc>
          <w:tcPr>
            <w:tcW w:w="3135" w:type="dxa"/>
          </w:tcPr>
          <w:p w:rsidR="00E75AD0" w:rsidRDefault="007F5EA0" w:rsidP="00111B8D">
            <w:pPr>
              <w:jc w:val="center"/>
              <w:rPr>
                <w:lang w:val="en-GB"/>
              </w:rPr>
            </w:pPr>
            <w:r>
              <w:rPr>
                <w:rFonts w:ascii="Segoe UI Symbol" w:hAnsi="Segoe UI Symbol"/>
                <w:lang w:val="en-GB"/>
              </w:rPr>
              <w:t>✓</w:t>
            </w:r>
          </w:p>
        </w:tc>
        <w:tc>
          <w:tcPr>
            <w:tcW w:w="3136" w:type="dxa"/>
          </w:tcPr>
          <w:p w:rsidR="00E75AD0" w:rsidRDefault="007F5EA0" w:rsidP="00111B8D">
            <w:pPr>
              <w:jc w:val="center"/>
              <w:rPr>
                <w:lang w:val="en-GB"/>
              </w:rPr>
            </w:pPr>
            <w:r>
              <w:rPr>
                <w:rFonts w:ascii="Segoe UI Symbol" w:hAnsi="Segoe UI Symbol"/>
                <w:lang w:val="en-GB"/>
              </w:rPr>
              <w:t>✓</w:t>
            </w:r>
          </w:p>
        </w:tc>
      </w:tr>
      <w:tr w:rsidR="00E75AD0" w:rsidTr="00417260">
        <w:tc>
          <w:tcPr>
            <w:tcW w:w="3135" w:type="dxa"/>
          </w:tcPr>
          <w:p w:rsidR="00E75AD0" w:rsidRPr="006D213D" w:rsidRDefault="00E75AD0" w:rsidP="00857214">
            <w:pPr>
              <w:rPr>
                <w:i/>
                <w:lang w:val="en-GB"/>
              </w:rPr>
            </w:pPr>
            <w:r w:rsidRPr="006D213D">
              <w:rPr>
                <w:i/>
                <w:lang w:val="en-GB"/>
              </w:rPr>
              <w:t>Return on Equity</w:t>
            </w:r>
          </w:p>
        </w:tc>
        <w:tc>
          <w:tcPr>
            <w:tcW w:w="3135" w:type="dxa"/>
          </w:tcPr>
          <w:p w:rsidR="00E75AD0" w:rsidRDefault="007F5EA0" w:rsidP="00111B8D">
            <w:pPr>
              <w:jc w:val="center"/>
              <w:rPr>
                <w:lang w:val="en-GB"/>
              </w:rPr>
            </w:pPr>
            <w:r>
              <w:rPr>
                <w:rFonts w:ascii="Segoe UI Symbol" w:hAnsi="Segoe UI Symbol"/>
                <w:lang w:val="en-GB"/>
              </w:rPr>
              <w:t>✓</w:t>
            </w:r>
          </w:p>
        </w:tc>
        <w:tc>
          <w:tcPr>
            <w:tcW w:w="3136" w:type="dxa"/>
          </w:tcPr>
          <w:p w:rsidR="00E75AD0" w:rsidRDefault="007F5EA0" w:rsidP="00111B8D">
            <w:pPr>
              <w:jc w:val="center"/>
              <w:rPr>
                <w:lang w:val="en-GB"/>
              </w:rPr>
            </w:pPr>
            <w:r>
              <w:rPr>
                <w:rFonts w:ascii="Segoe UI Symbol" w:hAnsi="Segoe UI Symbol"/>
                <w:lang w:val="en-GB"/>
              </w:rPr>
              <w:t>✓</w:t>
            </w:r>
          </w:p>
        </w:tc>
      </w:tr>
      <w:tr w:rsidR="008E2140" w:rsidTr="00417260">
        <w:tc>
          <w:tcPr>
            <w:tcW w:w="3135" w:type="dxa"/>
          </w:tcPr>
          <w:p w:rsidR="008E2140" w:rsidRPr="006D213D" w:rsidRDefault="008E2140" w:rsidP="00857214">
            <w:pPr>
              <w:rPr>
                <w:b/>
                <w:lang w:val="en-GB"/>
              </w:rPr>
            </w:pPr>
            <w:r w:rsidRPr="006D213D">
              <w:rPr>
                <w:b/>
                <w:lang w:val="en-GB"/>
              </w:rPr>
              <w:t>Variable Charges</w:t>
            </w:r>
          </w:p>
        </w:tc>
        <w:tc>
          <w:tcPr>
            <w:tcW w:w="3135" w:type="dxa"/>
          </w:tcPr>
          <w:p w:rsidR="008E2140" w:rsidRDefault="007F5EA0" w:rsidP="00111B8D">
            <w:pPr>
              <w:jc w:val="center"/>
              <w:rPr>
                <w:lang w:val="en-GB"/>
              </w:rPr>
            </w:pPr>
            <w:r>
              <w:rPr>
                <w:rFonts w:ascii="Segoe UI Symbol" w:hAnsi="Segoe UI Symbol"/>
                <w:lang w:val="en-GB"/>
              </w:rPr>
              <w:t>✓</w:t>
            </w:r>
          </w:p>
        </w:tc>
        <w:tc>
          <w:tcPr>
            <w:tcW w:w="3136" w:type="dxa"/>
          </w:tcPr>
          <w:p w:rsidR="008E2140" w:rsidRDefault="00FC498F" w:rsidP="00111B8D">
            <w:pPr>
              <w:jc w:val="center"/>
              <w:rPr>
                <w:lang w:val="en-GB"/>
              </w:rPr>
            </w:pPr>
            <w:r>
              <w:rPr>
                <w:lang w:val="en-GB"/>
              </w:rPr>
              <w:t>×</w:t>
            </w:r>
          </w:p>
        </w:tc>
      </w:tr>
      <w:tr w:rsidR="008E2140" w:rsidTr="00417260">
        <w:tc>
          <w:tcPr>
            <w:tcW w:w="3135" w:type="dxa"/>
          </w:tcPr>
          <w:p w:rsidR="008E2140" w:rsidRPr="006D213D" w:rsidRDefault="008E2140" w:rsidP="00857214">
            <w:pPr>
              <w:rPr>
                <w:b/>
                <w:lang w:val="en-GB"/>
              </w:rPr>
            </w:pPr>
            <w:r w:rsidRPr="006D213D">
              <w:rPr>
                <w:b/>
                <w:lang w:val="en-GB"/>
              </w:rPr>
              <w:t>Other Charges</w:t>
            </w:r>
          </w:p>
        </w:tc>
        <w:tc>
          <w:tcPr>
            <w:tcW w:w="3135" w:type="dxa"/>
          </w:tcPr>
          <w:p w:rsidR="008E2140" w:rsidRDefault="007F5EA0" w:rsidP="00111B8D">
            <w:pPr>
              <w:jc w:val="center"/>
              <w:rPr>
                <w:lang w:val="en-GB"/>
              </w:rPr>
            </w:pPr>
            <w:r>
              <w:rPr>
                <w:rFonts w:ascii="Segoe UI Symbol" w:hAnsi="Segoe UI Symbol"/>
                <w:lang w:val="en-GB"/>
              </w:rPr>
              <w:t>✓</w:t>
            </w:r>
          </w:p>
        </w:tc>
        <w:tc>
          <w:tcPr>
            <w:tcW w:w="3136" w:type="dxa"/>
          </w:tcPr>
          <w:p w:rsidR="008E2140" w:rsidRDefault="007F5EA0" w:rsidP="00111B8D">
            <w:pPr>
              <w:jc w:val="center"/>
              <w:rPr>
                <w:lang w:val="en-GB"/>
              </w:rPr>
            </w:pPr>
            <w:r>
              <w:rPr>
                <w:rFonts w:ascii="Segoe UI Symbol" w:hAnsi="Segoe UI Symbol"/>
                <w:lang w:val="en-GB"/>
              </w:rPr>
              <w:t>✓</w:t>
            </w:r>
          </w:p>
        </w:tc>
      </w:tr>
    </w:tbl>
    <w:p w:rsidR="007365E6" w:rsidRPr="00857214" w:rsidRDefault="007365E6" w:rsidP="00857214">
      <w:pPr>
        <w:rPr>
          <w:lang w:val="en-GB"/>
        </w:rPr>
      </w:pPr>
    </w:p>
    <w:p w:rsidR="001D4B5A" w:rsidRDefault="006C6D1B" w:rsidP="00F86CC8">
      <w:pPr>
        <w:pStyle w:val="Heading2"/>
      </w:pPr>
      <w:r>
        <w:t xml:space="preserve">In </w:t>
      </w:r>
      <w:r w:rsidR="00F64312">
        <w:t xml:space="preserve">Section 3, OPGC has </w:t>
      </w:r>
      <w:r w:rsidR="00BB5A7E">
        <w:t>submitted</w:t>
      </w:r>
      <w:r w:rsidR="00F64312">
        <w:t xml:space="preserve"> the generation tariff for FY 2019-20 considering the original project cost as per the Approved Amended PPA. In Section 4, OPGC has </w:t>
      </w:r>
      <w:r w:rsidR="006116CD">
        <w:t>submitted the details of proposed additional capitalisation for FY 201</w:t>
      </w:r>
      <w:r w:rsidR="005254B5">
        <w:t>9</w:t>
      </w:r>
      <w:r w:rsidR="006116CD">
        <w:t>-</w:t>
      </w:r>
      <w:r w:rsidR="005254B5">
        <w:t>20</w:t>
      </w:r>
      <w:r w:rsidR="006116CD">
        <w:t>.</w:t>
      </w:r>
      <w:r w:rsidR="00034819">
        <w:t xml:space="preserve"> In Section 5, OPGC has </w:t>
      </w:r>
      <w:r w:rsidR="00BB5A7E">
        <w:t xml:space="preserve">submitted the impact of additional capitalisation </w:t>
      </w:r>
      <w:r w:rsidR="005B5FD8">
        <w:t>on the Generation Tariff for FY 2019-20</w:t>
      </w:r>
      <w:r w:rsidR="005A3A1D">
        <w:t>.</w:t>
      </w:r>
      <w:r w:rsidR="00613AAA">
        <w:t xml:space="preserve"> In Section </w:t>
      </w:r>
      <w:r w:rsidR="000B4CC7">
        <w:t>6</w:t>
      </w:r>
      <w:r w:rsidR="00613AAA">
        <w:t xml:space="preserve">, OPGC has </w:t>
      </w:r>
      <w:r w:rsidR="000B4CC7">
        <w:t xml:space="preserve">submitted the summary of </w:t>
      </w:r>
      <w:r w:rsidR="00613AAA">
        <w:t xml:space="preserve">tariff </w:t>
      </w:r>
      <w:r w:rsidR="000B4CC7">
        <w:t xml:space="preserve">proposal </w:t>
      </w:r>
      <w:r w:rsidR="0048443F">
        <w:t>for FY 2019-20</w:t>
      </w:r>
      <w:r w:rsidR="00AD089B">
        <w:t>.</w:t>
      </w:r>
      <w:r w:rsidR="001D4B5A">
        <w:br w:type="page"/>
      </w:r>
    </w:p>
    <w:p w:rsidR="00FF6B72" w:rsidRPr="00F972D7" w:rsidRDefault="00FF6B72" w:rsidP="00FF6B72">
      <w:pPr>
        <w:pStyle w:val="Heading1"/>
      </w:pPr>
      <w:bookmarkStart w:id="162" w:name="_Toc436552905"/>
      <w:bookmarkStart w:id="163" w:name="_Toc514427946"/>
      <w:bookmarkStart w:id="164" w:name="_Toc530491638"/>
      <w:bookmarkStart w:id="165" w:name="_Toc530497531"/>
      <w:r w:rsidRPr="00F972D7">
        <w:t>Generation Tariff for FY 201</w:t>
      </w:r>
      <w:r w:rsidR="00AA241B">
        <w:t>9</w:t>
      </w:r>
      <w:r w:rsidRPr="00F972D7">
        <w:t>-</w:t>
      </w:r>
      <w:bookmarkEnd w:id="162"/>
      <w:bookmarkEnd w:id="163"/>
      <w:r w:rsidR="00AA241B">
        <w:t>20 considering the original project cost</w:t>
      </w:r>
      <w:bookmarkEnd w:id="164"/>
      <w:bookmarkEnd w:id="165"/>
    </w:p>
    <w:p w:rsidR="00FF6B72" w:rsidRPr="00F972D7" w:rsidRDefault="00FF6B72" w:rsidP="00FF6B72">
      <w:pPr>
        <w:widowControl w:val="0"/>
      </w:pPr>
      <w:bookmarkStart w:id="166" w:name="_Toc336253756"/>
      <w:bookmarkStart w:id="167" w:name="_Toc336254158"/>
      <w:bookmarkStart w:id="168" w:name="_Toc336254558"/>
      <w:bookmarkStart w:id="169" w:name="_Toc336254955"/>
      <w:bookmarkStart w:id="170" w:name="_Toc336255348"/>
      <w:bookmarkStart w:id="171" w:name="_Toc336255742"/>
      <w:bookmarkStart w:id="172" w:name="_Toc336256133"/>
      <w:bookmarkStart w:id="173" w:name="_Toc336253757"/>
      <w:bookmarkStart w:id="174" w:name="_Toc336254159"/>
      <w:bookmarkStart w:id="175" w:name="_Toc336254559"/>
      <w:bookmarkStart w:id="176" w:name="_Toc336254956"/>
      <w:bookmarkStart w:id="177" w:name="_Toc336255349"/>
      <w:bookmarkStart w:id="178" w:name="_Toc336255743"/>
      <w:bookmarkStart w:id="179" w:name="_Toc336256134"/>
      <w:bookmarkStart w:id="180" w:name="_Toc336253758"/>
      <w:bookmarkStart w:id="181" w:name="_Toc336254160"/>
      <w:bookmarkStart w:id="182" w:name="_Toc336254560"/>
      <w:bookmarkStart w:id="183" w:name="_Toc336254957"/>
      <w:bookmarkStart w:id="184" w:name="_Toc336255350"/>
      <w:bookmarkStart w:id="185" w:name="_Toc336255744"/>
      <w:bookmarkStart w:id="186" w:name="_Toc336256135"/>
      <w:bookmarkStart w:id="187" w:name="_Toc336253759"/>
      <w:bookmarkStart w:id="188" w:name="_Toc336254161"/>
      <w:bookmarkStart w:id="189" w:name="_Toc336254561"/>
      <w:bookmarkStart w:id="190" w:name="_Toc336254958"/>
      <w:bookmarkStart w:id="191" w:name="_Toc336255351"/>
      <w:bookmarkStart w:id="192" w:name="_Toc336255745"/>
      <w:bookmarkStart w:id="193" w:name="_Toc336256136"/>
      <w:bookmarkStart w:id="194" w:name="_Toc336253761"/>
      <w:bookmarkStart w:id="195" w:name="_Toc336254163"/>
      <w:bookmarkStart w:id="196" w:name="_Toc336254563"/>
      <w:bookmarkStart w:id="197" w:name="_Toc336254960"/>
      <w:bookmarkStart w:id="198" w:name="_Toc336255353"/>
      <w:bookmarkStart w:id="199" w:name="_Toc336255747"/>
      <w:bookmarkStart w:id="200" w:name="_Toc336256138"/>
      <w:bookmarkStart w:id="201" w:name="_Toc336253762"/>
      <w:bookmarkStart w:id="202" w:name="_Toc336254164"/>
      <w:bookmarkStart w:id="203" w:name="_Toc336254564"/>
      <w:bookmarkStart w:id="204" w:name="_Toc336254961"/>
      <w:bookmarkStart w:id="205" w:name="_Toc336255354"/>
      <w:bookmarkStart w:id="206" w:name="_Toc336255748"/>
      <w:bookmarkStart w:id="207" w:name="_Toc336256139"/>
      <w:bookmarkStart w:id="208" w:name="_Toc336253763"/>
      <w:bookmarkStart w:id="209" w:name="_Toc336254165"/>
      <w:bookmarkStart w:id="210" w:name="_Toc336254565"/>
      <w:bookmarkStart w:id="211" w:name="_Toc336254962"/>
      <w:bookmarkStart w:id="212" w:name="_Toc336255355"/>
      <w:bookmarkStart w:id="213" w:name="_Toc336255749"/>
      <w:bookmarkStart w:id="214" w:name="_Toc336256140"/>
      <w:bookmarkStart w:id="215" w:name="_Toc336253764"/>
      <w:bookmarkStart w:id="216" w:name="_Toc336254166"/>
      <w:bookmarkStart w:id="217" w:name="_Toc336254566"/>
      <w:bookmarkStart w:id="218" w:name="_Toc336254963"/>
      <w:bookmarkStart w:id="219" w:name="_Toc336255356"/>
      <w:bookmarkStart w:id="220" w:name="_Toc336255750"/>
      <w:bookmarkStart w:id="221" w:name="_Toc336256141"/>
      <w:bookmarkStart w:id="222" w:name="_Toc336253765"/>
      <w:bookmarkStart w:id="223" w:name="_Toc336254167"/>
      <w:bookmarkStart w:id="224" w:name="_Toc336254567"/>
      <w:bookmarkStart w:id="225" w:name="_Toc336254964"/>
      <w:bookmarkStart w:id="226" w:name="_Toc336255357"/>
      <w:bookmarkStart w:id="227" w:name="_Toc336255751"/>
      <w:bookmarkStart w:id="228" w:name="_Toc336256142"/>
      <w:bookmarkStart w:id="229" w:name="_Toc336253766"/>
      <w:bookmarkStart w:id="230" w:name="_Toc336254168"/>
      <w:bookmarkStart w:id="231" w:name="_Toc336254568"/>
      <w:bookmarkStart w:id="232" w:name="_Toc336254965"/>
      <w:bookmarkStart w:id="233" w:name="_Toc336255358"/>
      <w:bookmarkStart w:id="234" w:name="_Toc336255752"/>
      <w:bookmarkStart w:id="235" w:name="_Toc336256143"/>
      <w:bookmarkStart w:id="236" w:name="_Toc336253767"/>
      <w:bookmarkStart w:id="237" w:name="_Toc336254169"/>
      <w:bookmarkStart w:id="238" w:name="_Toc336254569"/>
      <w:bookmarkStart w:id="239" w:name="_Toc336254966"/>
      <w:bookmarkStart w:id="240" w:name="_Toc336255359"/>
      <w:bookmarkStart w:id="241" w:name="_Toc336255753"/>
      <w:bookmarkStart w:id="242" w:name="_Toc336256144"/>
      <w:bookmarkStart w:id="243" w:name="_Toc336253768"/>
      <w:bookmarkStart w:id="244" w:name="_Toc336254170"/>
      <w:bookmarkStart w:id="245" w:name="_Toc336254570"/>
      <w:bookmarkStart w:id="246" w:name="_Toc336254967"/>
      <w:bookmarkStart w:id="247" w:name="_Toc336255360"/>
      <w:bookmarkStart w:id="248" w:name="_Toc336255754"/>
      <w:bookmarkStart w:id="249" w:name="_Toc336256145"/>
      <w:bookmarkStart w:id="250" w:name="_Toc336253769"/>
      <w:bookmarkStart w:id="251" w:name="_Toc336254171"/>
      <w:bookmarkStart w:id="252" w:name="_Toc336254571"/>
      <w:bookmarkStart w:id="253" w:name="_Toc336254968"/>
      <w:bookmarkStart w:id="254" w:name="_Toc336255361"/>
      <w:bookmarkStart w:id="255" w:name="_Toc336255755"/>
      <w:bookmarkStart w:id="256" w:name="_Toc336256146"/>
      <w:bookmarkStart w:id="257" w:name="_Toc336253770"/>
      <w:bookmarkStart w:id="258" w:name="_Toc336254172"/>
      <w:bookmarkStart w:id="259" w:name="_Toc336254572"/>
      <w:bookmarkStart w:id="260" w:name="_Toc336254969"/>
      <w:bookmarkStart w:id="261" w:name="_Toc336255362"/>
      <w:bookmarkStart w:id="262" w:name="_Toc336255756"/>
      <w:bookmarkStart w:id="263" w:name="_Toc336256147"/>
      <w:bookmarkStart w:id="264" w:name="_Toc336253771"/>
      <w:bookmarkStart w:id="265" w:name="_Toc336254173"/>
      <w:bookmarkStart w:id="266" w:name="_Toc336254573"/>
      <w:bookmarkStart w:id="267" w:name="_Toc336254970"/>
      <w:bookmarkStart w:id="268" w:name="_Toc336255363"/>
      <w:bookmarkStart w:id="269" w:name="_Toc336255757"/>
      <w:bookmarkStart w:id="270" w:name="_Toc336256148"/>
      <w:bookmarkStart w:id="271" w:name="_Toc336253772"/>
      <w:bookmarkStart w:id="272" w:name="_Toc336254174"/>
      <w:bookmarkStart w:id="273" w:name="_Toc336254574"/>
      <w:bookmarkStart w:id="274" w:name="_Toc336254971"/>
      <w:bookmarkStart w:id="275" w:name="_Toc336255364"/>
      <w:bookmarkStart w:id="276" w:name="_Toc336255758"/>
      <w:bookmarkStart w:id="277" w:name="_Toc336256149"/>
      <w:bookmarkStart w:id="278" w:name="_Toc336253773"/>
      <w:bookmarkStart w:id="279" w:name="_Toc336254175"/>
      <w:bookmarkStart w:id="280" w:name="_Toc336254575"/>
      <w:bookmarkStart w:id="281" w:name="_Toc336254972"/>
      <w:bookmarkStart w:id="282" w:name="_Toc336255365"/>
      <w:bookmarkStart w:id="283" w:name="_Toc336255759"/>
      <w:bookmarkStart w:id="284" w:name="_Toc336256150"/>
      <w:bookmarkStart w:id="285" w:name="_Toc336253774"/>
      <w:bookmarkStart w:id="286" w:name="_Toc336254176"/>
      <w:bookmarkStart w:id="287" w:name="_Toc336254576"/>
      <w:bookmarkStart w:id="288" w:name="_Toc336254973"/>
      <w:bookmarkStart w:id="289" w:name="_Toc336255366"/>
      <w:bookmarkStart w:id="290" w:name="_Toc336255760"/>
      <w:bookmarkStart w:id="291" w:name="_Toc336256151"/>
      <w:bookmarkStart w:id="292" w:name="_Toc336253775"/>
      <w:bookmarkStart w:id="293" w:name="_Toc336254177"/>
      <w:bookmarkStart w:id="294" w:name="_Toc336254577"/>
      <w:bookmarkStart w:id="295" w:name="_Toc336254974"/>
      <w:bookmarkStart w:id="296" w:name="_Toc336255367"/>
      <w:bookmarkStart w:id="297" w:name="_Toc336255761"/>
      <w:bookmarkStart w:id="298" w:name="_Toc336256152"/>
      <w:bookmarkStart w:id="299" w:name="_Toc336253776"/>
      <w:bookmarkStart w:id="300" w:name="_Toc336254178"/>
      <w:bookmarkStart w:id="301" w:name="_Toc336254578"/>
      <w:bookmarkStart w:id="302" w:name="_Toc336254975"/>
      <w:bookmarkStart w:id="303" w:name="_Toc336255368"/>
      <w:bookmarkStart w:id="304" w:name="_Toc336255762"/>
      <w:bookmarkStart w:id="305" w:name="_Toc336256153"/>
      <w:bookmarkStart w:id="306" w:name="_Toc336253777"/>
      <w:bookmarkStart w:id="307" w:name="_Toc336254179"/>
      <w:bookmarkStart w:id="308" w:name="_Toc336254579"/>
      <w:bookmarkStart w:id="309" w:name="_Toc336254976"/>
      <w:bookmarkStart w:id="310" w:name="_Toc336255369"/>
      <w:bookmarkStart w:id="311" w:name="_Toc336255763"/>
      <w:bookmarkStart w:id="312" w:name="_Toc336256154"/>
      <w:bookmarkStart w:id="313" w:name="_Toc336253778"/>
      <w:bookmarkStart w:id="314" w:name="_Toc336254180"/>
      <w:bookmarkStart w:id="315" w:name="_Toc336254580"/>
      <w:bookmarkStart w:id="316" w:name="_Toc336254977"/>
      <w:bookmarkStart w:id="317" w:name="_Toc336255370"/>
      <w:bookmarkStart w:id="318" w:name="_Toc336255764"/>
      <w:bookmarkStart w:id="319" w:name="_Toc336256155"/>
      <w:bookmarkStart w:id="320" w:name="_Toc336253779"/>
      <w:bookmarkStart w:id="321" w:name="_Toc336254181"/>
      <w:bookmarkStart w:id="322" w:name="_Toc336254581"/>
      <w:bookmarkStart w:id="323" w:name="_Toc336254978"/>
      <w:bookmarkStart w:id="324" w:name="_Toc336255371"/>
      <w:bookmarkStart w:id="325" w:name="_Toc336255765"/>
      <w:bookmarkStart w:id="326" w:name="_Toc336256156"/>
      <w:bookmarkStart w:id="327" w:name="_Toc339051705"/>
      <w:bookmarkStart w:id="328" w:name="_Toc339052409"/>
      <w:bookmarkStart w:id="329" w:name="_Toc339053111"/>
      <w:bookmarkStart w:id="330" w:name="_Toc339053859"/>
      <w:bookmarkStart w:id="331" w:name="_Toc336253784"/>
      <w:bookmarkStart w:id="332" w:name="_Toc336254186"/>
      <w:bookmarkStart w:id="333" w:name="_Toc336254586"/>
      <w:bookmarkStart w:id="334" w:name="_Toc336254983"/>
      <w:bookmarkStart w:id="335" w:name="_Toc336255376"/>
      <w:bookmarkStart w:id="336" w:name="_Toc336255770"/>
      <w:bookmarkStart w:id="337" w:name="_Toc336256161"/>
      <w:bookmarkStart w:id="338" w:name="_Toc436552906"/>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rsidR="00FF6B72" w:rsidRDefault="00FF6B72" w:rsidP="00FF6B72">
      <w:pPr>
        <w:pStyle w:val="ListParagraph"/>
        <w:numPr>
          <w:ilvl w:val="0"/>
          <w:numId w:val="14"/>
        </w:numPr>
        <w:rPr>
          <w:vanish/>
          <w:kern w:val="32"/>
        </w:rPr>
      </w:pPr>
    </w:p>
    <w:p w:rsidR="00FF6B72" w:rsidRDefault="00FF6B72" w:rsidP="00FF6B72">
      <w:pPr>
        <w:pStyle w:val="ListParagraph"/>
        <w:numPr>
          <w:ilvl w:val="0"/>
          <w:numId w:val="14"/>
        </w:numPr>
        <w:rPr>
          <w:vanish/>
          <w:kern w:val="32"/>
        </w:rPr>
      </w:pPr>
    </w:p>
    <w:p w:rsidR="00FF6B72" w:rsidRPr="00F972D7" w:rsidRDefault="00FF6B72" w:rsidP="00FF6B72">
      <w:pPr>
        <w:pStyle w:val="Heading2"/>
        <w:numPr>
          <w:ilvl w:val="0"/>
          <w:numId w:val="0"/>
        </w:numPr>
        <w:ind w:left="90"/>
        <w:rPr>
          <w:rFonts w:eastAsia="Calibri"/>
          <w:b/>
          <w:bCs w:val="0"/>
          <w:i/>
          <w:iCs w:val="0"/>
          <w:szCs w:val="24"/>
          <w:lang w:val="en-IN"/>
        </w:rPr>
      </w:pPr>
      <w:bookmarkStart w:id="339" w:name="_Toc436552908"/>
      <w:bookmarkEnd w:id="338"/>
      <w:r w:rsidRPr="00F972D7">
        <w:rPr>
          <w:rFonts w:eastAsia="Calibri"/>
          <w:b/>
          <w:bCs w:val="0"/>
          <w:i/>
          <w:iCs w:val="0"/>
          <w:szCs w:val="24"/>
          <w:lang w:val="en-IN"/>
        </w:rPr>
        <w:t>Computation of Annual Fixed Cost</w:t>
      </w:r>
      <w:bookmarkEnd w:id="339"/>
    </w:p>
    <w:p w:rsidR="00FF6B72" w:rsidRPr="00F972D7" w:rsidRDefault="00FF6B72" w:rsidP="00FF6B72">
      <w:pPr>
        <w:pStyle w:val="Heading2"/>
      </w:pPr>
      <w:bookmarkStart w:id="340" w:name="_Toc436552909"/>
      <w:r w:rsidRPr="00F972D7">
        <w:t>As per Clause 3.0 of Schedule II of the Amended PPA, the Annual Fixed Cost of OPGC shall consist of the following components:</w:t>
      </w:r>
      <w:bookmarkEnd w:id="340"/>
    </w:p>
    <w:p w:rsidR="00FF6B72" w:rsidRPr="00F972D7" w:rsidRDefault="00FF6B72" w:rsidP="00FF6B72">
      <w:pPr>
        <w:pStyle w:val="ListParagraph"/>
        <w:numPr>
          <w:ilvl w:val="1"/>
          <w:numId w:val="3"/>
        </w:numPr>
        <w:rPr>
          <w:szCs w:val="24"/>
        </w:rPr>
      </w:pPr>
      <w:r>
        <w:rPr>
          <w:szCs w:val="24"/>
        </w:rPr>
        <w:t>Depreciation</w:t>
      </w:r>
      <w:r w:rsidRPr="00F972D7">
        <w:rPr>
          <w:szCs w:val="24"/>
        </w:rPr>
        <w:t>;</w:t>
      </w:r>
    </w:p>
    <w:p w:rsidR="00FF6B72" w:rsidRPr="00F972D7" w:rsidRDefault="00FF6B72" w:rsidP="00FF6B72">
      <w:pPr>
        <w:pStyle w:val="ListParagraph"/>
        <w:numPr>
          <w:ilvl w:val="1"/>
          <w:numId w:val="3"/>
        </w:numPr>
        <w:rPr>
          <w:szCs w:val="24"/>
        </w:rPr>
      </w:pPr>
      <w:r>
        <w:rPr>
          <w:szCs w:val="24"/>
        </w:rPr>
        <w:t>Return on Equity</w:t>
      </w:r>
      <w:r w:rsidRPr="00F972D7">
        <w:rPr>
          <w:szCs w:val="24"/>
        </w:rPr>
        <w:t>;</w:t>
      </w:r>
    </w:p>
    <w:p w:rsidR="00FF6B72" w:rsidRPr="00F972D7" w:rsidRDefault="00FF6B72" w:rsidP="00FF6B72">
      <w:pPr>
        <w:pStyle w:val="ListParagraph"/>
        <w:numPr>
          <w:ilvl w:val="1"/>
          <w:numId w:val="3"/>
        </w:numPr>
        <w:rPr>
          <w:szCs w:val="24"/>
        </w:rPr>
      </w:pPr>
      <w:r>
        <w:rPr>
          <w:szCs w:val="24"/>
        </w:rPr>
        <w:t>Interest on Loan</w:t>
      </w:r>
      <w:r w:rsidRPr="00F972D7">
        <w:rPr>
          <w:szCs w:val="24"/>
        </w:rPr>
        <w:t>;</w:t>
      </w:r>
    </w:p>
    <w:p w:rsidR="00FF6B72" w:rsidRPr="00F972D7" w:rsidRDefault="00FF6B72" w:rsidP="00FF6B72">
      <w:pPr>
        <w:pStyle w:val="ListParagraph"/>
        <w:numPr>
          <w:ilvl w:val="1"/>
          <w:numId w:val="3"/>
        </w:numPr>
        <w:rPr>
          <w:szCs w:val="24"/>
        </w:rPr>
      </w:pPr>
      <w:r w:rsidRPr="00F972D7">
        <w:rPr>
          <w:szCs w:val="24"/>
        </w:rPr>
        <w:t>Operation and Maintenance Expenses;</w:t>
      </w:r>
    </w:p>
    <w:p w:rsidR="00FF6B72" w:rsidRPr="00F972D7" w:rsidRDefault="00FF6B72" w:rsidP="00FF6B72">
      <w:pPr>
        <w:pStyle w:val="ListParagraph"/>
        <w:numPr>
          <w:ilvl w:val="1"/>
          <w:numId w:val="3"/>
        </w:numPr>
        <w:rPr>
          <w:szCs w:val="24"/>
        </w:rPr>
      </w:pPr>
      <w:r w:rsidRPr="00F972D7">
        <w:rPr>
          <w:szCs w:val="24"/>
        </w:rPr>
        <w:t>Interest on Working Capital.</w:t>
      </w:r>
    </w:p>
    <w:p w:rsidR="00FF6B72" w:rsidRPr="00F972D7" w:rsidRDefault="00FF6B72" w:rsidP="00FF6B72">
      <w:pPr>
        <w:widowControl w:val="0"/>
        <w:ind w:left="864" w:hanging="864"/>
      </w:pPr>
    </w:p>
    <w:p w:rsidR="00FF6B72" w:rsidRPr="00F972D7" w:rsidRDefault="00FF6B72" w:rsidP="00FF6B72">
      <w:pPr>
        <w:pStyle w:val="Heading2"/>
      </w:pPr>
      <w:bookmarkStart w:id="341" w:name="_Toc417712402"/>
      <w:bookmarkStart w:id="342" w:name="_Toc417712626"/>
      <w:bookmarkStart w:id="343" w:name="_Toc417712828"/>
      <w:bookmarkStart w:id="344" w:name="_Toc417713025"/>
      <w:bookmarkStart w:id="345" w:name="_Toc417713221"/>
      <w:bookmarkStart w:id="346" w:name="_Toc417713413"/>
      <w:bookmarkStart w:id="347" w:name="_Toc417713605"/>
      <w:bookmarkStart w:id="348" w:name="_Toc417713783"/>
      <w:bookmarkStart w:id="349" w:name="_Toc417713961"/>
      <w:bookmarkStart w:id="350" w:name="_Toc417714139"/>
      <w:bookmarkStart w:id="351" w:name="_Toc417714304"/>
      <w:bookmarkStart w:id="352" w:name="_Toc417714393"/>
      <w:bookmarkStart w:id="353" w:name="_Toc417714481"/>
      <w:bookmarkStart w:id="354" w:name="_Toc417907560"/>
      <w:bookmarkStart w:id="355" w:name="_Toc417907695"/>
      <w:bookmarkStart w:id="356" w:name="_Toc417915694"/>
      <w:bookmarkStart w:id="357" w:name="_Toc43655291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Pr="00F972D7">
        <w:t>The computation of each of the above components of the Annual Fixed Cost is detailed in the subsequent paragraphs.</w:t>
      </w:r>
      <w:bookmarkEnd w:id="357"/>
    </w:p>
    <w:p w:rsidR="00FF6B72" w:rsidRPr="00F972D7" w:rsidRDefault="00FF6B72" w:rsidP="00FF6B72">
      <w:pPr>
        <w:pStyle w:val="Heading3"/>
        <w:keepNext w:val="0"/>
        <w:widowControl w:val="0"/>
        <w:numPr>
          <w:ilvl w:val="0"/>
          <w:numId w:val="0"/>
        </w:numPr>
        <w:spacing w:before="0" w:after="0"/>
        <w:ind w:left="720" w:hanging="720"/>
        <w:rPr>
          <w:rFonts w:ascii="Times New Roman" w:hAnsi="Times New Roman"/>
          <w:b/>
          <w:i/>
          <w:szCs w:val="24"/>
        </w:rPr>
      </w:pPr>
    </w:p>
    <w:p w:rsidR="00FF6B72" w:rsidRPr="00F972D7" w:rsidRDefault="00FF6B72" w:rsidP="00FF6B72">
      <w:pPr>
        <w:pStyle w:val="Heading3"/>
        <w:keepNext w:val="0"/>
        <w:widowControl w:val="0"/>
        <w:numPr>
          <w:ilvl w:val="0"/>
          <w:numId w:val="0"/>
        </w:numPr>
        <w:spacing w:before="0" w:after="0"/>
        <w:ind w:left="720" w:hanging="720"/>
        <w:rPr>
          <w:rFonts w:ascii="Times New Roman" w:hAnsi="Times New Roman"/>
          <w:b/>
          <w:i/>
          <w:szCs w:val="24"/>
        </w:rPr>
      </w:pPr>
      <w:bookmarkStart w:id="358" w:name="_Toc436552911"/>
      <w:r w:rsidRPr="00F972D7">
        <w:rPr>
          <w:rFonts w:ascii="Times New Roman" w:hAnsi="Times New Roman"/>
          <w:b/>
          <w:i/>
          <w:szCs w:val="24"/>
        </w:rPr>
        <w:t xml:space="preserve">Capital Cost </w:t>
      </w:r>
      <w:bookmarkEnd w:id="358"/>
    </w:p>
    <w:p w:rsidR="00FF6B72" w:rsidRDefault="00FF6B72" w:rsidP="00FF6B72">
      <w:pPr>
        <w:pStyle w:val="Heading2"/>
      </w:pPr>
      <w:bookmarkStart w:id="359" w:name="_Toc436552912"/>
      <w:r w:rsidRPr="00F972D7">
        <w:t>The Amended PPA signed between OPGC and GRIDCO has considered the Capital Cost of the Project as Rs. 1060 Crore.</w:t>
      </w:r>
      <w:r>
        <w:t xml:space="preserve"> It is submitted</w:t>
      </w:r>
      <w:r w:rsidRPr="00F972D7">
        <w:t xml:space="preserve"> that while approving </w:t>
      </w:r>
      <w:r>
        <w:t xml:space="preserve">the </w:t>
      </w:r>
      <w:r w:rsidRPr="00F972D7">
        <w:t xml:space="preserve">Amended PPA </w:t>
      </w:r>
      <w:r>
        <w:t xml:space="preserve">vide </w:t>
      </w:r>
      <w:r w:rsidRPr="00F972D7">
        <w:t xml:space="preserve">Order dated April 27, 2015, Hon’ble OERC has </w:t>
      </w:r>
      <w:r>
        <w:t>approved</w:t>
      </w:r>
      <w:r w:rsidRPr="00F972D7">
        <w:t xml:space="preserve"> the capital cost of </w:t>
      </w:r>
      <w:r>
        <w:t xml:space="preserve">the </w:t>
      </w:r>
      <w:r w:rsidRPr="00F972D7">
        <w:t>project. In view of this, OPGC has considered the capital cost of Rs. 1060 Crore for the purpose of computation of tariff for FY 201</w:t>
      </w:r>
      <w:r w:rsidR="00223CDD">
        <w:t>9</w:t>
      </w:r>
      <w:r w:rsidRPr="00F972D7">
        <w:t>-</w:t>
      </w:r>
      <w:r w:rsidR="00223CDD">
        <w:t>20</w:t>
      </w:r>
      <w:r w:rsidRPr="00F972D7">
        <w:t>.</w:t>
      </w:r>
      <w:bookmarkEnd w:id="359"/>
    </w:p>
    <w:p w:rsidR="00F357C4" w:rsidRDefault="00F357C4" w:rsidP="00F357C4">
      <w:pPr>
        <w:rPr>
          <w:lang w:val="en-GB"/>
        </w:rPr>
      </w:pPr>
    </w:p>
    <w:p w:rsidR="00F357C4" w:rsidRPr="00F357C4" w:rsidRDefault="00F357C4" w:rsidP="00F357C4">
      <w:pPr>
        <w:pStyle w:val="Heading3"/>
        <w:keepNext w:val="0"/>
        <w:widowControl w:val="0"/>
        <w:numPr>
          <w:ilvl w:val="0"/>
          <w:numId w:val="0"/>
        </w:numPr>
        <w:spacing w:before="0" w:after="0"/>
        <w:ind w:left="720" w:hanging="720"/>
        <w:rPr>
          <w:rFonts w:ascii="Times New Roman" w:hAnsi="Times New Roman"/>
          <w:b/>
          <w:i/>
          <w:szCs w:val="24"/>
        </w:rPr>
      </w:pPr>
      <w:r w:rsidRPr="00F357C4">
        <w:rPr>
          <w:rFonts w:ascii="Times New Roman" w:hAnsi="Times New Roman"/>
          <w:b/>
          <w:i/>
          <w:szCs w:val="24"/>
        </w:rPr>
        <w:t>Additional Capitalisation</w:t>
      </w:r>
    </w:p>
    <w:p w:rsidR="00F357C4" w:rsidRPr="00F357C4" w:rsidRDefault="00F357C4" w:rsidP="00F357C4">
      <w:pPr>
        <w:pStyle w:val="Heading2"/>
      </w:pPr>
      <w:r>
        <w:t xml:space="preserve">The proposed additional capitalisation for FY 2019-20 has been </w:t>
      </w:r>
      <w:r w:rsidR="00E8000E">
        <w:t>discussed</w:t>
      </w:r>
      <w:r>
        <w:t xml:space="preserve"> in Section 4 of the Petition.</w:t>
      </w:r>
    </w:p>
    <w:p w:rsidR="00FF6B72" w:rsidRDefault="00FF6B72" w:rsidP="00FF6B72">
      <w:pPr>
        <w:pStyle w:val="Heading3"/>
        <w:keepNext w:val="0"/>
        <w:widowControl w:val="0"/>
        <w:numPr>
          <w:ilvl w:val="0"/>
          <w:numId w:val="0"/>
        </w:numPr>
        <w:spacing w:before="0" w:after="0"/>
        <w:rPr>
          <w:rFonts w:ascii="Times New Roman" w:hAnsi="Times New Roman"/>
          <w:iCs/>
          <w:szCs w:val="28"/>
        </w:rPr>
      </w:pPr>
      <w:bookmarkStart w:id="360" w:name="_Toc436552914"/>
    </w:p>
    <w:p w:rsidR="00FF6B72" w:rsidRPr="00F972D7" w:rsidRDefault="00FF6B72" w:rsidP="00FF6B72">
      <w:pPr>
        <w:pStyle w:val="Heading3"/>
        <w:keepNext w:val="0"/>
        <w:widowControl w:val="0"/>
        <w:numPr>
          <w:ilvl w:val="0"/>
          <w:numId w:val="0"/>
        </w:numPr>
        <w:spacing w:before="0" w:after="0"/>
        <w:ind w:left="720" w:hanging="720"/>
        <w:rPr>
          <w:rFonts w:ascii="Times New Roman" w:hAnsi="Times New Roman"/>
          <w:b/>
          <w:i/>
          <w:szCs w:val="24"/>
        </w:rPr>
      </w:pPr>
      <w:r w:rsidRPr="00F972D7">
        <w:rPr>
          <w:rFonts w:ascii="Times New Roman" w:hAnsi="Times New Roman"/>
          <w:b/>
          <w:i/>
          <w:szCs w:val="24"/>
        </w:rPr>
        <w:t>Debt:Equity Ratio</w:t>
      </w:r>
      <w:bookmarkEnd w:id="360"/>
    </w:p>
    <w:p w:rsidR="00FF6B72" w:rsidRPr="00F972D7" w:rsidRDefault="00FF6B72" w:rsidP="00FF6B72">
      <w:pPr>
        <w:pStyle w:val="Heading2"/>
      </w:pPr>
      <w:bookmarkStart w:id="361" w:name="_Toc436552915"/>
      <w:r w:rsidRPr="00F972D7">
        <w:t xml:space="preserve">OPGC submits that project cost of Rs. 1060 Crore as approved in Amended PPA included equity of Rs. 450 Crore and Loan of Rs. 610 Crore. </w:t>
      </w:r>
      <w:r>
        <w:t>It is submitted</w:t>
      </w:r>
      <w:r w:rsidRPr="00F972D7">
        <w:t xml:space="preserve"> that while approving </w:t>
      </w:r>
      <w:r>
        <w:t xml:space="preserve">the </w:t>
      </w:r>
      <w:r w:rsidRPr="00F972D7">
        <w:t xml:space="preserve">Amended PPA </w:t>
      </w:r>
      <w:r>
        <w:t xml:space="preserve">vide </w:t>
      </w:r>
      <w:r w:rsidRPr="00F972D7">
        <w:t xml:space="preserve">Order dated April 27, 2015, Hon’ble OERC has </w:t>
      </w:r>
      <w:r>
        <w:t>approved</w:t>
      </w:r>
      <w:r w:rsidRPr="00F972D7">
        <w:t xml:space="preserve"> the </w:t>
      </w:r>
      <w:r>
        <w:t xml:space="preserve">equity of Rs. 450 Crore and loan of Rs. 610 Crore. </w:t>
      </w:r>
      <w:r w:rsidRPr="00F972D7">
        <w:t>Hence, OPGC has considered actual debt:equity ratio,</w:t>
      </w:r>
      <w:r w:rsidR="006B6A0F">
        <w:t xml:space="preserve"> </w:t>
      </w:r>
      <w:r w:rsidRPr="00F972D7">
        <w:t>as approved in Amended PPA, for the purpose of determination of tariff for FY 201</w:t>
      </w:r>
      <w:r w:rsidR="00266E10">
        <w:t>9</w:t>
      </w:r>
      <w:r w:rsidRPr="00F972D7">
        <w:t>-</w:t>
      </w:r>
      <w:r w:rsidR="00266E10">
        <w:t>20</w:t>
      </w:r>
      <w:r w:rsidRPr="00F972D7">
        <w:t>.</w:t>
      </w:r>
      <w:bookmarkEnd w:id="361"/>
      <w:r w:rsidR="008C609A">
        <w:t xml:space="preserve"> The debt and equity corresponding to the </w:t>
      </w:r>
      <w:r w:rsidR="00985487">
        <w:t xml:space="preserve">additional capitalisation </w:t>
      </w:r>
      <w:r w:rsidR="009F6FFD">
        <w:t xml:space="preserve">claimed </w:t>
      </w:r>
      <w:r w:rsidR="00985487">
        <w:t>in Case No. 54 of 2018 and the proposed additional capitalisation for FY 2019-20 has been discussed in Section 4 of the Petition.</w:t>
      </w:r>
    </w:p>
    <w:p w:rsidR="00FF6B72" w:rsidRDefault="00FF6B72" w:rsidP="00FF6B72">
      <w:pPr>
        <w:pStyle w:val="Heading2"/>
        <w:numPr>
          <w:ilvl w:val="0"/>
          <w:numId w:val="0"/>
        </w:numPr>
        <w:ind w:left="576"/>
      </w:pPr>
      <w:bookmarkStart w:id="362" w:name="_Toc436552916"/>
    </w:p>
    <w:p w:rsidR="00FF6B72" w:rsidRPr="00F972D7" w:rsidRDefault="00FF6B72" w:rsidP="00FF6B72">
      <w:pPr>
        <w:pStyle w:val="Heading3"/>
        <w:keepNext w:val="0"/>
        <w:widowControl w:val="0"/>
        <w:numPr>
          <w:ilvl w:val="0"/>
          <w:numId w:val="0"/>
        </w:numPr>
        <w:spacing w:before="0" w:after="0"/>
        <w:ind w:left="720" w:hanging="720"/>
        <w:rPr>
          <w:rFonts w:ascii="Times New Roman" w:hAnsi="Times New Roman"/>
          <w:b/>
          <w:i/>
          <w:szCs w:val="24"/>
        </w:rPr>
      </w:pPr>
      <w:r w:rsidRPr="00F972D7">
        <w:rPr>
          <w:rFonts w:ascii="Times New Roman" w:hAnsi="Times New Roman"/>
          <w:b/>
          <w:i/>
          <w:szCs w:val="24"/>
        </w:rPr>
        <w:t>Depreciation</w:t>
      </w:r>
    </w:p>
    <w:p w:rsidR="00FF6B72" w:rsidRPr="00F972D7" w:rsidRDefault="00FF6B72" w:rsidP="00FF6B72">
      <w:pPr>
        <w:pStyle w:val="Heading2"/>
        <w:rPr>
          <w:szCs w:val="24"/>
        </w:rPr>
      </w:pPr>
      <w:r w:rsidRPr="00F972D7">
        <w:t xml:space="preserve">OPGC submits that Clause 3.0 (a) of Schedule II of the Amended PPA provides that depreciation charges shall be equal to 7.5% of the Capital Cost during the year. Considering the </w:t>
      </w:r>
      <w:r w:rsidRPr="00F972D7">
        <w:rPr>
          <w:szCs w:val="24"/>
        </w:rPr>
        <w:t xml:space="preserve">depreciation charges computed as per the provisions of the Amended PPA, the </w:t>
      </w:r>
      <w:r w:rsidR="001008B7">
        <w:rPr>
          <w:szCs w:val="24"/>
        </w:rPr>
        <w:t>assets corresponding to Original Capital Cost</w:t>
      </w:r>
      <w:r w:rsidR="002D2914">
        <w:rPr>
          <w:szCs w:val="24"/>
        </w:rPr>
        <w:t xml:space="preserve"> </w:t>
      </w:r>
      <w:r w:rsidRPr="00F972D7">
        <w:rPr>
          <w:szCs w:val="24"/>
        </w:rPr>
        <w:t xml:space="preserve">of Generating Station </w:t>
      </w:r>
      <w:r w:rsidR="001008B7">
        <w:rPr>
          <w:szCs w:val="24"/>
        </w:rPr>
        <w:t xml:space="preserve">are </w:t>
      </w:r>
      <w:r w:rsidRPr="00F972D7">
        <w:rPr>
          <w:szCs w:val="24"/>
        </w:rPr>
        <w:t>fully depreciated by the financial year ending March 31, 2009.</w:t>
      </w:r>
    </w:p>
    <w:p w:rsidR="00FF6B72" w:rsidRDefault="00FF6B72" w:rsidP="00FF6B72">
      <w:pPr>
        <w:pStyle w:val="Heading2"/>
        <w:numPr>
          <w:ilvl w:val="0"/>
          <w:numId w:val="0"/>
        </w:numPr>
        <w:ind w:left="578"/>
      </w:pPr>
    </w:p>
    <w:p w:rsidR="00FF6B72" w:rsidRPr="00F972D7" w:rsidRDefault="00FF6B72" w:rsidP="00FF6B72">
      <w:pPr>
        <w:pStyle w:val="Heading2"/>
      </w:pPr>
      <w:r w:rsidRPr="00F972D7">
        <w:t>In view of the above, OPGC does not submit any claim towards the depreciation for FY 201</w:t>
      </w:r>
      <w:r w:rsidR="00617703">
        <w:t>9</w:t>
      </w:r>
      <w:r w:rsidRPr="00F972D7">
        <w:t>-</w:t>
      </w:r>
      <w:r w:rsidR="00617703">
        <w:t>20</w:t>
      </w:r>
      <w:r w:rsidRPr="00F972D7">
        <w:t>.</w:t>
      </w:r>
      <w:r>
        <w:t xml:space="preserve"> However, the depreciation for FY 201</w:t>
      </w:r>
      <w:r w:rsidR="00617703">
        <w:t>9</w:t>
      </w:r>
      <w:r>
        <w:t>-</w:t>
      </w:r>
      <w:r w:rsidR="00617703">
        <w:t>20</w:t>
      </w:r>
      <w:r>
        <w:t xml:space="preserve"> corresponding to additional capitalisation </w:t>
      </w:r>
      <w:r w:rsidR="007255CD">
        <w:t>has been</w:t>
      </w:r>
      <w:r w:rsidR="002D2914">
        <w:t xml:space="preserve"> </w:t>
      </w:r>
      <w:r w:rsidR="00C87FA6">
        <w:t>discussed</w:t>
      </w:r>
      <w:r w:rsidR="002D2914">
        <w:t xml:space="preserve"> </w:t>
      </w:r>
      <w:r w:rsidR="007255CD">
        <w:t>in Section</w:t>
      </w:r>
      <w:r w:rsidR="00C87FA6">
        <w:t xml:space="preserve"> 4 of the Petition</w:t>
      </w:r>
      <w:r>
        <w:t>.</w:t>
      </w:r>
    </w:p>
    <w:p w:rsidR="00FF6B72" w:rsidRPr="0001099B" w:rsidRDefault="00FF6B72" w:rsidP="00FF6B72">
      <w:pPr>
        <w:rPr>
          <w:lang w:val="en-GB"/>
        </w:rPr>
      </w:pPr>
    </w:p>
    <w:p w:rsidR="00FF6B72" w:rsidRPr="00F972D7" w:rsidRDefault="00FF6B72" w:rsidP="00FF6B72">
      <w:pPr>
        <w:pStyle w:val="Heading2"/>
        <w:numPr>
          <w:ilvl w:val="0"/>
          <w:numId w:val="0"/>
        </w:numPr>
        <w:ind w:left="578" w:hanging="578"/>
        <w:rPr>
          <w:b/>
          <w:i/>
          <w:szCs w:val="24"/>
        </w:rPr>
      </w:pPr>
      <w:bookmarkStart w:id="363" w:name="_Toc436552917"/>
      <w:bookmarkEnd w:id="362"/>
      <w:r w:rsidRPr="00F972D7">
        <w:rPr>
          <w:b/>
          <w:i/>
          <w:szCs w:val="24"/>
        </w:rPr>
        <w:t>Return on Equity</w:t>
      </w:r>
      <w:bookmarkEnd w:id="363"/>
    </w:p>
    <w:p w:rsidR="00FF6B72" w:rsidRDefault="00FF6B72" w:rsidP="00FF6B72">
      <w:pPr>
        <w:pStyle w:val="Heading2"/>
      </w:pPr>
      <w:bookmarkStart w:id="364" w:name="_Toc436552918"/>
      <w:r w:rsidRPr="00F972D7">
        <w:t>OPGC has considered the actual amount of equity of Rs. 450 Crore for computation of Return on Equity.</w:t>
      </w:r>
      <w:bookmarkEnd w:id="364"/>
      <w:r w:rsidRPr="00F972D7">
        <w:t xml:space="preserve">The Clause 8.0 (10) of Schedule II of PPA provides </w:t>
      </w:r>
      <w:r>
        <w:t>for</w:t>
      </w:r>
      <w:r w:rsidRPr="00F972D7">
        <w:t xml:space="preserve"> Return on Equity at the rate of 16%. Accordingly, OPGC submits the Return on Equity for FY 201</w:t>
      </w:r>
      <w:r w:rsidR="0020560E">
        <w:t>9</w:t>
      </w:r>
      <w:r w:rsidRPr="00F972D7">
        <w:t>-</w:t>
      </w:r>
      <w:r w:rsidR="0020560E">
        <w:t>20</w:t>
      </w:r>
      <w:r w:rsidR="002D2914">
        <w:t xml:space="preserve"> </w:t>
      </w:r>
      <w:r w:rsidRPr="00F972D7">
        <w:t>as under:</w:t>
      </w:r>
    </w:p>
    <w:p w:rsidR="001658BE" w:rsidRPr="001658BE" w:rsidRDefault="001658BE" w:rsidP="001658BE">
      <w:pPr>
        <w:rPr>
          <w:lang w:val="en-GB"/>
        </w:rPr>
      </w:pPr>
    </w:p>
    <w:p w:rsidR="00FF6B72" w:rsidRPr="00F972D7" w:rsidRDefault="00FF6B72" w:rsidP="00FF6B72">
      <w:pPr>
        <w:widowControl w:val="0"/>
        <w:jc w:val="center"/>
        <w:rPr>
          <w:sz w:val="22"/>
        </w:rPr>
      </w:pPr>
      <w:bookmarkStart w:id="365" w:name="_Toc514428007"/>
      <w:bookmarkStart w:id="366" w:name="_Toc530497536"/>
      <w:r w:rsidRPr="00F972D7">
        <w:rPr>
          <w:b/>
          <w:szCs w:val="24"/>
        </w:rPr>
        <w:t xml:space="preserve">Table </w:t>
      </w:r>
      <w:r w:rsidR="00687F74">
        <w:rPr>
          <w:b/>
          <w:szCs w:val="24"/>
        </w:rPr>
        <w:fldChar w:fldCharType="begin"/>
      </w:r>
      <w:r>
        <w:rPr>
          <w:b/>
          <w:szCs w:val="24"/>
        </w:rPr>
        <w:instrText xml:space="preserve"> STYLEREF 1 \s </w:instrText>
      </w:r>
      <w:r w:rsidR="00687F74">
        <w:rPr>
          <w:b/>
          <w:szCs w:val="24"/>
        </w:rPr>
        <w:fldChar w:fldCharType="separate"/>
      </w:r>
      <w:r w:rsidR="008A42C7">
        <w:rPr>
          <w:b/>
          <w:noProof/>
          <w:szCs w:val="24"/>
        </w:rPr>
        <w:t>3</w:t>
      </w:r>
      <w:r w:rsidR="00687F74">
        <w:rPr>
          <w:b/>
          <w:szCs w:val="24"/>
        </w:rPr>
        <w:fldChar w:fldCharType="end"/>
      </w:r>
      <w:r>
        <w:rPr>
          <w:b/>
          <w:szCs w:val="24"/>
        </w:rPr>
        <w:t>.</w:t>
      </w:r>
      <w:r w:rsidR="00687F74">
        <w:rPr>
          <w:b/>
          <w:szCs w:val="24"/>
        </w:rPr>
        <w:fldChar w:fldCharType="begin"/>
      </w:r>
      <w:r>
        <w:rPr>
          <w:b/>
          <w:szCs w:val="24"/>
        </w:rPr>
        <w:instrText xml:space="preserve"> SEQ Table \* ARABIC \s 1 </w:instrText>
      </w:r>
      <w:r w:rsidR="00687F74">
        <w:rPr>
          <w:b/>
          <w:szCs w:val="24"/>
        </w:rPr>
        <w:fldChar w:fldCharType="separate"/>
      </w:r>
      <w:r w:rsidR="008A42C7">
        <w:rPr>
          <w:b/>
          <w:noProof/>
          <w:szCs w:val="24"/>
        </w:rPr>
        <w:t>1</w:t>
      </w:r>
      <w:r w:rsidR="00687F74">
        <w:rPr>
          <w:b/>
          <w:szCs w:val="24"/>
        </w:rPr>
        <w:fldChar w:fldCharType="end"/>
      </w:r>
      <w:r w:rsidRPr="00F972D7">
        <w:rPr>
          <w:b/>
          <w:szCs w:val="24"/>
        </w:rPr>
        <w:t xml:space="preserve">: </w:t>
      </w:r>
      <w:r w:rsidRPr="00F972D7">
        <w:rPr>
          <w:rFonts w:eastAsia="Times New Roman"/>
          <w:b/>
          <w:bCs/>
          <w:szCs w:val="24"/>
          <w:lang w:val="en-US"/>
        </w:rPr>
        <w:t xml:space="preserve">Return on Equity </w:t>
      </w:r>
      <w:r w:rsidR="00CE0A0F">
        <w:rPr>
          <w:rFonts w:eastAsia="Times New Roman"/>
          <w:b/>
          <w:bCs/>
          <w:szCs w:val="24"/>
          <w:lang w:val="en-US"/>
        </w:rPr>
        <w:t>corresponding to original project cost</w:t>
      </w:r>
      <w:r w:rsidRPr="00F972D7">
        <w:rPr>
          <w:rFonts w:eastAsia="Times New Roman"/>
          <w:b/>
          <w:bCs/>
          <w:szCs w:val="24"/>
          <w:lang w:val="en-US"/>
        </w:rPr>
        <w:t>(Rs. Crore)</w:t>
      </w:r>
      <w:bookmarkEnd w:id="365"/>
      <w:bookmarkEnd w:id="366"/>
    </w:p>
    <w:tbl>
      <w:tblPr>
        <w:tblW w:w="35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tblPr>
      <w:tblGrid>
        <w:gridCol w:w="853"/>
        <w:gridCol w:w="3542"/>
        <w:gridCol w:w="2149"/>
      </w:tblGrid>
      <w:tr w:rsidR="00BD6F8D" w:rsidRPr="00F972D7" w:rsidTr="00BD6F8D">
        <w:trPr>
          <w:trHeight w:val="113"/>
          <w:tblHeader/>
          <w:jc w:val="center"/>
        </w:trPr>
        <w:tc>
          <w:tcPr>
            <w:tcW w:w="652" w:type="pct"/>
            <w:shd w:val="clear" w:color="auto" w:fill="FABF8F" w:themeFill="accent6" w:themeFillTint="99"/>
            <w:vAlign w:val="center"/>
          </w:tcPr>
          <w:p w:rsidR="00BD6F8D" w:rsidRPr="00F972D7" w:rsidRDefault="00BD6F8D" w:rsidP="008F275E">
            <w:pPr>
              <w:widowControl w:val="0"/>
              <w:spacing w:line="276" w:lineRule="auto"/>
              <w:jc w:val="center"/>
              <w:rPr>
                <w:rFonts w:eastAsia="Times New Roman"/>
                <w:b/>
                <w:szCs w:val="24"/>
                <w:lang w:val="en-US"/>
              </w:rPr>
            </w:pPr>
            <w:r w:rsidRPr="00F972D7">
              <w:rPr>
                <w:rFonts w:eastAsia="Times New Roman"/>
                <w:b/>
                <w:szCs w:val="24"/>
                <w:lang w:val="en-US"/>
              </w:rPr>
              <w:t>Sr. No.</w:t>
            </w:r>
          </w:p>
        </w:tc>
        <w:tc>
          <w:tcPr>
            <w:tcW w:w="2706" w:type="pct"/>
            <w:shd w:val="clear" w:color="auto" w:fill="FABF8F" w:themeFill="accent6" w:themeFillTint="99"/>
            <w:vAlign w:val="center"/>
            <w:hideMark/>
          </w:tcPr>
          <w:p w:rsidR="00BD6F8D" w:rsidRPr="00F972D7" w:rsidRDefault="00BD6F8D" w:rsidP="008F275E">
            <w:pPr>
              <w:widowControl w:val="0"/>
              <w:spacing w:line="276" w:lineRule="auto"/>
              <w:ind w:left="112"/>
              <w:jc w:val="center"/>
              <w:rPr>
                <w:rFonts w:eastAsia="Times New Roman"/>
                <w:b/>
                <w:szCs w:val="24"/>
                <w:lang w:val="en-US"/>
              </w:rPr>
            </w:pPr>
            <w:r w:rsidRPr="00F972D7">
              <w:rPr>
                <w:rFonts w:eastAsia="Times New Roman"/>
                <w:b/>
                <w:szCs w:val="24"/>
                <w:lang w:val="en-US"/>
              </w:rPr>
              <w:t>Particulars</w:t>
            </w:r>
          </w:p>
        </w:tc>
        <w:tc>
          <w:tcPr>
            <w:tcW w:w="1642" w:type="pct"/>
            <w:shd w:val="clear" w:color="auto" w:fill="FABF8F" w:themeFill="accent6" w:themeFillTint="99"/>
          </w:tcPr>
          <w:p w:rsidR="00BD6F8D" w:rsidRDefault="00CE0A0F" w:rsidP="008F275E">
            <w:pPr>
              <w:widowControl w:val="0"/>
              <w:spacing w:line="276" w:lineRule="auto"/>
              <w:jc w:val="center"/>
              <w:rPr>
                <w:b/>
                <w:szCs w:val="24"/>
              </w:rPr>
            </w:pPr>
            <w:r>
              <w:rPr>
                <w:b/>
                <w:szCs w:val="24"/>
              </w:rPr>
              <w:t>FY 2019-20</w:t>
            </w:r>
          </w:p>
        </w:tc>
      </w:tr>
      <w:tr w:rsidR="00BD6F8D" w:rsidRPr="00F972D7" w:rsidTr="00BD6F8D">
        <w:trPr>
          <w:trHeight w:val="113"/>
          <w:jc w:val="center"/>
        </w:trPr>
        <w:tc>
          <w:tcPr>
            <w:tcW w:w="652" w:type="pct"/>
          </w:tcPr>
          <w:p w:rsidR="00BD6F8D" w:rsidRDefault="00BD6F8D" w:rsidP="008F275E">
            <w:pPr>
              <w:pStyle w:val="ListParagraph"/>
              <w:numPr>
                <w:ilvl w:val="0"/>
                <w:numId w:val="19"/>
              </w:numPr>
              <w:spacing w:line="276" w:lineRule="auto"/>
              <w:jc w:val="center"/>
              <w:rPr>
                <w:b/>
                <w:kern w:val="32"/>
                <w:sz w:val="28"/>
                <w:szCs w:val="24"/>
                <w:lang w:val="en-US"/>
              </w:rPr>
            </w:pPr>
          </w:p>
        </w:tc>
        <w:tc>
          <w:tcPr>
            <w:tcW w:w="2706" w:type="pct"/>
            <w:shd w:val="clear" w:color="auto" w:fill="auto"/>
            <w:vAlign w:val="center"/>
            <w:hideMark/>
          </w:tcPr>
          <w:p w:rsidR="00BD6F8D" w:rsidRPr="00F972D7" w:rsidRDefault="00BD6F8D" w:rsidP="008F275E">
            <w:pPr>
              <w:widowControl w:val="0"/>
              <w:spacing w:line="276" w:lineRule="auto"/>
              <w:ind w:left="112"/>
              <w:rPr>
                <w:rFonts w:eastAsia="Times New Roman"/>
                <w:szCs w:val="24"/>
                <w:lang w:val="en-US"/>
              </w:rPr>
            </w:pPr>
            <w:r w:rsidRPr="00F972D7">
              <w:rPr>
                <w:rFonts w:eastAsia="Times New Roman"/>
                <w:szCs w:val="24"/>
                <w:lang w:val="en-US"/>
              </w:rPr>
              <w:t xml:space="preserve">Actual Equity for Station </w:t>
            </w:r>
          </w:p>
        </w:tc>
        <w:tc>
          <w:tcPr>
            <w:tcW w:w="1642" w:type="pct"/>
          </w:tcPr>
          <w:p w:rsidR="00BD6F8D" w:rsidRPr="00F972D7" w:rsidRDefault="00BD6F8D" w:rsidP="008F275E">
            <w:pPr>
              <w:widowControl w:val="0"/>
              <w:spacing w:line="276" w:lineRule="auto"/>
              <w:jc w:val="center"/>
              <w:rPr>
                <w:szCs w:val="24"/>
              </w:rPr>
            </w:pPr>
            <w:r>
              <w:rPr>
                <w:szCs w:val="24"/>
              </w:rPr>
              <w:t>450.00</w:t>
            </w:r>
          </w:p>
        </w:tc>
      </w:tr>
      <w:tr w:rsidR="00BD6F8D" w:rsidRPr="00F972D7" w:rsidTr="00BD6F8D">
        <w:trPr>
          <w:trHeight w:val="113"/>
          <w:jc w:val="center"/>
        </w:trPr>
        <w:tc>
          <w:tcPr>
            <w:tcW w:w="652" w:type="pct"/>
          </w:tcPr>
          <w:p w:rsidR="00BD6F8D" w:rsidRDefault="00BD6F8D" w:rsidP="008F275E">
            <w:pPr>
              <w:pStyle w:val="ListParagraph"/>
              <w:numPr>
                <w:ilvl w:val="0"/>
                <w:numId w:val="19"/>
              </w:numPr>
              <w:spacing w:line="276" w:lineRule="auto"/>
              <w:jc w:val="center"/>
              <w:rPr>
                <w:b/>
                <w:kern w:val="32"/>
                <w:sz w:val="28"/>
                <w:szCs w:val="24"/>
                <w:lang w:val="en-US"/>
              </w:rPr>
            </w:pPr>
          </w:p>
        </w:tc>
        <w:tc>
          <w:tcPr>
            <w:tcW w:w="2706" w:type="pct"/>
            <w:shd w:val="clear" w:color="auto" w:fill="auto"/>
            <w:vAlign w:val="center"/>
            <w:hideMark/>
          </w:tcPr>
          <w:p w:rsidR="00BD6F8D" w:rsidRPr="00F972D7" w:rsidRDefault="00BD6F8D" w:rsidP="008F275E">
            <w:pPr>
              <w:widowControl w:val="0"/>
              <w:spacing w:line="276" w:lineRule="auto"/>
              <w:ind w:left="112"/>
              <w:rPr>
                <w:rFonts w:eastAsia="Times New Roman"/>
                <w:szCs w:val="24"/>
                <w:lang w:val="en-US"/>
              </w:rPr>
            </w:pPr>
            <w:r w:rsidRPr="00F972D7">
              <w:rPr>
                <w:rFonts w:eastAsia="Times New Roman"/>
                <w:szCs w:val="24"/>
                <w:lang w:val="en-US"/>
              </w:rPr>
              <w:t>Rate of Return on Equity</w:t>
            </w:r>
          </w:p>
        </w:tc>
        <w:tc>
          <w:tcPr>
            <w:tcW w:w="1642" w:type="pct"/>
          </w:tcPr>
          <w:p w:rsidR="00BD6F8D" w:rsidRPr="00F972D7" w:rsidRDefault="00BD6F8D" w:rsidP="008F275E">
            <w:pPr>
              <w:widowControl w:val="0"/>
              <w:spacing w:line="276" w:lineRule="auto"/>
              <w:jc w:val="center"/>
              <w:rPr>
                <w:szCs w:val="24"/>
              </w:rPr>
            </w:pPr>
            <w:r>
              <w:rPr>
                <w:szCs w:val="24"/>
              </w:rPr>
              <w:t>16.00%</w:t>
            </w:r>
          </w:p>
        </w:tc>
      </w:tr>
      <w:tr w:rsidR="00BD6F8D" w:rsidRPr="00F972D7" w:rsidTr="00BD6F8D">
        <w:trPr>
          <w:trHeight w:val="113"/>
          <w:jc w:val="center"/>
        </w:trPr>
        <w:tc>
          <w:tcPr>
            <w:tcW w:w="652" w:type="pct"/>
          </w:tcPr>
          <w:p w:rsidR="00BD6F8D" w:rsidRDefault="00BD6F8D" w:rsidP="008F275E">
            <w:pPr>
              <w:pStyle w:val="ListParagraph"/>
              <w:numPr>
                <w:ilvl w:val="0"/>
                <w:numId w:val="19"/>
              </w:numPr>
              <w:spacing w:line="276" w:lineRule="auto"/>
              <w:jc w:val="center"/>
              <w:rPr>
                <w:b/>
                <w:bCs w:val="0"/>
                <w:kern w:val="32"/>
                <w:sz w:val="28"/>
                <w:szCs w:val="24"/>
                <w:lang w:val="en-US"/>
              </w:rPr>
            </w:pPr>
          </w:p>
        </w:tc>
        <w:tc>
          <w:tcPr>
            <w:tcW w:w="2706" w:type="pct"/>
            <w:shd w:val="clear" w:color="auto" w:fill="auto"/>
            <w:vAlign w:val="center"/>
            <w:hideMark/>
          </w:tcPr>
          <w:p w:rsidR="00BD6F8D" w:rsidRPr="00F972D7" w:rsidRDefault="00BD6F8D" w:rsidP="008F275E">
            <w:pPr>
              <w:widowControl w:val="0"/>
              <w:spacing w:line="276" w:lineRule="auto"/>
              <w:ind w:left="112"/>
              <w:rPr>
                <w:rFonts w:eastAsia="Times New Roman"/>
                <w:b/>
                <w:bCs/>
                <w:szCs w:val="24"/>
                <w:lang w:val="en-US"/>
              </w:rPr>
            </w:pPr>
            <w:r w:rsidRPr="00F972D7">
              <w:rPr>
                <w:rFonts w:eastAsia="Times New Roman"/>
                <w:b/>
                <w:bCs/>
                <w:szCs w:val="24"/>
                <w:lang w:val="en-US"/>
              </w:rPr>
              <w:t>Return on Equity</w:t>
            </w:r>
          </w:p>
        </w:tc>
        <w:tc>
          <w:tcPr>
            <w:tcW w:w="1642" w:type="pct"/>
          </w:tcPr>
          <w:p w:rsidR="00BD6F8D" w:rsidRPr="00F972D7" w:rsidRDefault="00BD6F8D" w:rsidP="008F275E">
            <w:pPr>
              <w:widowControl w:val="0"/>
              <w:spacing w:line="276" w:lineRule="auto"/>
              <w:jc w:val="center"/>
              <w:rPr>
                <w:b/>
                <w:bCs/>
                <w:szCs w:val="24"/>
              </w:rPr>
            </w:pPr>
            <w:r>
              <w:rPr>
                <w:b/>
                <w:bCs/>
                <w:szCs w:val="24"/>
              </w:rPr>
              <w:t>72.00</w:t>
            </w:r>
          </w:p>
        </w:tc>
      </w:tr>
    </w:tbl>
    <w:p w:rsidR="00FF6B72" w:rsidRDefault="00FF6B72" w:rsidP="00FF6B72">
      <w:pPr>
        <w:pStyle w:val="Heading2"/>
        <w:numPr>
          <w:ilvl w:val="0"/>
          <w:numId w:val="0"/>
        </w:numPr>
        <w:ind w:left="576"/>
      </w:pPr>
      <w:bookmarkStart w:id="367" w:name="_Toc436552921"/>
    </w:p>
    <w:p w:rsidR="00FF6B72" w:rsidRPr="00F972D7" w:rsidRDefault="00FF6B72" w:rsidP="000C5213">
      <w:pPr>
        <w:pStyle w:val="Heading2"/>
      </w:pPr>
      <w:r w:rsidRPr="00F972D7">
        <w:t>OPGC humbly request the Hon’ble OERC to approve the Return on Equity of Rs. 72.00 Crore for FY 201</w:t>
      </w:r>
      <w:r w:rsidR="00337174">
        <w:t>9</w:t>
      </w:r>
      <w:r w:rsidRPr="00F972D7">
        <w:t>-</w:t>
      </w:r>
      <w:r w:rsidR="00337174">
        <w:t>20</w:t>
      </w:r>
      <w:r w:rsidRPr="00F972D7">
        <w:t>.</w:t>
      </w:r>
      <w:bookmarkEnd w:id="367"/>
      <w:r w:rsidR="002D2914">
        <w:t xml:space="preserve"> </w:t>
      </w:r>
      <w:r>
        <w:t>The Return on Equity for FY 201</w:t>
      </w:r>
      <w:r w:rsidR="000C5213">
        <w:t>9</w:t>
      </w:r>
      <w:r>
        <w:t>-</w:t>
      </w:r>
      <w:r w:rsidR="000C5213">
        <w:t>20</w:t>
      </w:r>
      <w:r>
        <w:t xml:space="preserve"> corresponding to additional capitalisation </w:t>
      </w:r>
      <w:r w:rsidR="00C85300">
        <w:t xml:space="preserve">has been </w:t>
      </w:r>
      <w:r w:rsidR="006B2B68">
        <w:t>discussed</w:t>
      </w:r>
      <w:r w:rsidR="00C85300">
        <w:t xml:space="preserve"> in Section</w:t>
      </w:r>
      <w:r w:rsidR="006B2B68">
        <w:t xml:space="preserve"> 4 of the Petition</w:t>
      </w:r>
      <w:r>
        <w:t>.</w:t>
      </w:r>
    </w:p>
    <w:p w:rsidR="00FF6B72" w:rsidRPr="00F972D7" w:rsidRDefault="00FF6B72" w:rsidP="00FF6B72">
      <w:pPr>
        <w:pStyle w:val="Heading3"/>
        <w:keepNext w:val="0"/>
        <w:widowControl w:val="0"/>
        <w:numPr>
          <w:ilvl w:val="0"/>
          <w:numId w:val="0"/>
        </w:numPr>
        <w:spacing w:before="0" w:after="0"/>
        <w:ind w:left="720" w:hanging="720"/>
        <w:rPr>
          <w:rFonts w:ascii="Times New Roman" w:hAnsi="Times New Roman"/>
          <w:b/>
          <w:i/>
          <w:szCs w:val="24"/>
        </w:rPr>
      </w:pPr>
      <w:bookmarkStart w:id="368" w:name="_Toc436552925"/>
    </w:p>
    <w:p w:rsidR="00FF6B72" w:rsidRPr="00F972D7" w:rsidRDefault="00FF6B72" w:rsidP="00FF6B72">
      <w:pPr>
        <w:pStyle w:val="Heading3"/>
        <w:keepNext w:val="0"/>
        <w:widowControl w:val="0"/>
        <w:numPr>
          <w:ilvl w:val="0"/>
          <w:numId w:val="0"/>
        </w:numPr>
        <w:spacing w:before="0" w:after="0"/>
        <w:ind w:left="720" w:hanging="720"/>
        <w:rPr>
          <w:rFonts w:ascii="Times New Roman" w:hAnsi="Times New Roman"/>
          <w:b/>
          <w:i/>
          <w:szCs w:val="24"/>
        </w:rPr>
      </w:pPr>
      <w:r w:rsidRPr="00F972D7">
        <w:rPr>
          <w:rFonts w:ascii="Times New Roman" w:hAnsi="Times New Roman"/>
          <w:b/>
          <w:i/>
          <w:szCs w:val="24"/>
        </w:rPr>
        <w:t>Interest on Loan Capital</w:t>
      </w:r>
      <w:bookmarkEnd w:id="368"/>
    </w:p>
    <w:p w:rsidR="00FF6B72" w:rsidRPr="00F972D7" w:rsidRDefault="00FF6B72" w:rsidP="00FF6B72">
      <w:pPr>
        <w:pStyle w:val="Heading2"/>
      </w:pPr>
      <w:bookmarkStart w:id="369" w:name="_Toc436552926"/>
      <w:r w:rsidRPr="00F972D7">
        <w:rPr>
          <w:bCs w:val="0"/>
          <w:iCs w:val="0"/>
        </w:rPr>
        <w:t>OPGC submits that Clause 8.0 (7) and (11) of Schedule II of the Amended PPA provides the loan amount of Rs. 610 Crore and interest on loan as per actuals. Considering the actual repayment made against the outstanding loan, OPGC submit that l</w:t>
      </w:r>
      <w:r w:rsidRPr="00F972D7">
        <w:rPr>
          <w:bCs w:val="0"/>
          <w:iCs w:val="0"/>
          <w:szCs w:val="24"/>
        </w:rPr>
        <w:t xml:space="preserve">oan amount of Rs. 610 Crore has been fully repaid by financial year ending March 31, 2012. </w:t>
      </w:r>
      <w:r w:rsidRPr="00F972D7">
        <w:t>In view of the above, OPGC does not submit any claim towards the Interest on Loan Capital for FY 201</w:t>
      </w:r>
      <w:r w:rsidR="00A77A7C">
        <w:t>9</w:t>
      </w:r>
      <w:r w:rsidRPr="00F972D7">
        <w:t>-</w:t>
      </w:r>
      <w:r w:rsidR="00A77A7C">
        <w:t>20</w:t>
      </w:r>
      <w:r w:rsidRPr="00F972D7">
        <w:t>.</w:t>
      </w:r>
      <w:bookmarkEnd w:id="369"/>
      <w:r>
        <w:t xml:space="preserve"> However, the interest on loan capital for FY 201</w:t>
      </w:r>
      <w:r w:rsidR="00A77A7C">
        <w:t>9</w:t>
      </w:r>
      <w:r>
        <w:t>-</w:t>
      </w:r>
      <w:r w:rsidR="00A77A7C">
        <w:t>20</w:t>
      </w:r>
      <w:r>
        <w:t xml:space="preserve"> corresponding to additional capitalisation </w:t>
      </w:r>
      <w:r w:rsidR="00A77A7C">
        <w:t>has been discussed in Section 4 of the Petition</w:t>
      </w:r>
      <w:r>
        <w:t>.</w:t>
      </w:r>
    </w:p>
    <w:p w:rsidR="00FF6B72" w:rsidRDefault="00FF6B72" w:rsidP="00FF6B72">
      <w:bookmarkStart w:id="370" w:name="_Toc436552927"/>
    </w:p>
    <w:p w:rsidR="00FF6B72" w:rsidRPr="00F972D7" w:rsidRDefault="00FF6B72" w:rsidP="00FF6B72">
      <w:pPr>
        <w:pStyle w:val="Heading3"/>
        <w:keepNext w:val="0"/>
        <w:widowControl w:val="0"/>
        <w:numPr>
          <w:ilvl w:val="0"/>
          <w:numId w:val="0"/>
        </w:numPr>
        <w:spacing w:before="0" w:after="0"/>
        <w:ind w:left="720" w:hanging="720"/>
        <w:rPr>
          <w:rFonts w:ascii="Times New Roman" w:hAnsi="Times New Roman"/>
          <w:b/>
          <w:i/>
          <w:szCs w:val="24"/>
        </w:rPr>
      </w:pPr>
      <w:r w:rsidRPr="00F972D7">
        <w:rPr>
          <w:rFonts w:ascii="Times New Roman" w:hAnsi="Times New Roman"/>
          <w:b/>
          <w:i/>
          <w:szCs w:val="24"/>
        </w:rPr>
        <w:t>O&amp;M Expenses</w:t>
      </w:r>
    </w:p>
    <w:p w:rsidR="00FF6B72" w:rsidRPr="00F972D7" w:rsidRDefault="00FF6B72" w:rsidP="00FF6B72">
      <w:pPr>
        <w:pStyle w:val="Heading2"/>
      </w:pPr>
      <w:r w:rsidRPr="00F972D7">
        <w:t xml:space="preserve">OPGC submits that Clause 3.0 (d) and (e) of Schedule II of the Amended PPA provides that O&amp;M expenses for first year of operation at the rate of 2.5% of the capital cost </w:t>
      </w:r>
      <w:r>
        <w:t xml:space="preserve">which </w:t>
      </w:r>
      <w:r w:rsidRPr="00F972D7">
        <w:t xml:space="preserve">shall be escalated by 8% each year from April 1, 1996. </w:t>
      </w:r>
    </w:p>
    <w:p w:rsidR="00FF6B72" w:rsidRPr="00F972D7" w:rsidRDefault="00FF6B72" w:rsidP="00FF6B72">
      <w:pPr>
        <w:pStyle w:val="ListParagraph"/>
        <w:numPr>
          <w:ilvl w:val="0"/>
          <w:numId w:val="0"/>
        </w:numPr>
        <w:ind w:left="720"/>
        <w:rPr>
          <w:szCs w:val="24"/>
        </w:rPr>
      </w:pPr>
    </w:p>
    <w:p w:rsidR="00FF6B72" w:rsidRDefault="00FF6B72" w:rsidP="00FF6B72">
      <w:pPr>
        <w:pStyle w:val="Heading2"/>
      </w:pPr>
      <w:r w:rsidRPr="00F972D7">
        <w:t>Accordingly, OPGC submits the O&amp;M Expenses for FY 201</w:t>
      </w:r>
      <w:r w:rsidR="00EA64A5">
        <w:t>9</w:t>
      </w:r>
      <w:r w:rsidRPr="00F972D7">
        <w:t>-</w:t>
      </w:r>
      <w:r w:rsidR="00EA64A5">
        <w:t>20</w:t>
      </w:r>
      <w:r w:rsidR="002D2914">
        <w:t xml:space="preserve"> </w:t>
      </w:r>
      <w:r w:rsidRPr="00F972D7">
        <w:t>considering the escalation factor of 8% as per the methodology prescribed in Amended PPA as under:</w:t>
      </w:r>
    </w:p>
    <w:p w:rsidR="00FF6B72" w:rsidRPr="00610C99" w:rsidRDefault="00FF6B72" w:rsidP="00FF6B72">
      <w:pPr>
        <w:rPr>
          <w:lang w:val="en-GB"/>
        </w:rPr>
      </w:pPr>
    </w:p>
    <w:p w:rsidR="00FF6B72" w:rsidRPr="00F972D7" w:rsidRDefault="00FF6B72" w:rsidP="00FF6B72">
      <w:pPr>
        <w:widowControl w:val="0"/>
        <w:ind w:firstLine="720"/>
        <w:jc w:val="center"/>
        <w:rPr>
          <w:lang w:val="en-GB"/>
        </w:rPr>
      </w:pPr>
      <w:bookmarkStart w:id="371" w:name="_Toc530497537"/>
      <w:r w:rsidRPr="00F972D7">
        <w:rPr>
          <w:b/>
          <w:szCs w:val="24"/>
        </w:rPr>
        <w:t xml:space="preserve">Table </w:t>
      </w:r>
      <w:r w:rsidR="00687F74">
        <w:rPr>
          <w:b/>
          <w:szCs w:val="24"/>
        </w:rPr>
        <w:fldChar w:fldCharType="begin"/>
      </w:r>
      <w:r>
        <w:rPr>
          <w:b/>
          <w:szCs w:val="24"/>
        </w:rPr>
        <w:instrText xml:space="preserve"> STYLEREF 1 \s </w:instrText>
      </w:r>
      <w:r w:rsidR="00687F74">
        <w:rPr>
          <w:b/>
          <w:szCs w:val="24"/>
        </w:rPr>
        <w:fldChar w:fldCharType="separate"/>
      </w:r>
      <w:r w:rsidR="008A42C7">
        <w:rPr>
          <w:b/>
          <w:noProof/>
          <w:szCs w:val="24"/>
        </w:rPr>
        <w:t>3</w:t>
      </w:r>
      <w:r w:rsidR="00687F74">
        <w:rPr>
          <w:b/>
          <w:szCs w:val="24"/>
        </w:rPr>
        <w:fldChar w:fldCharType="end"/>
      </w:r>
      <w:r>
        <w:rPr>
          <w:b/>
          <w:szCs w:val="24"/>
        </w:rPr>
        <w:t>.</w:t>
      </w:r>
      <w:r w:rsidR="00687F74">
        <w:rPr>
          <w:b/>
          <w:szCs w:val="24"/>
        </w:rPr>
        <w:fldChar w:fldCharType="begin"/>
      </w:r>
      <w:r>
        <w:rPr>
          <w:b/>
          <w:szCs w:val="24"/>
        </w:rPr>
        <w:instrText xml:space="preserve"> SEQ Table \* ARABIC \s 1 </w:instrText>
      </w:r>
      <w:r w:rsidR="00687F74">
        <w:rPr>
          <w:b/>
          <w:szCs w:val="24"/>
        </w:rPr>
        <w:fldChar w:fldCharType="separate"/>
      </w:r>
      <w:r w:rsidR="008A42C7">
        <w:rPr>
          <w:b/>
          <w:noProof/>
          <w:szCs w:val="24"/>
        </w:rPr>
        <w:t>2</w:t>
      </w:r>
      <w:r w:rsidR="00687F74">
        <w:rPr>
          <w:b/>
          <w:szCs w:val="24"/>
        </w:rPr>
        <w:fldChar w:fldCharType="end"/>
      </w:r>
      <w:r w:rsidRPr="00F972D7">
        <w:rPr>
          <w:b/>
          <w:szCs w:val="24"/>
        </w:rPr>
        <w:t xml:space="preserve">: </w:t>
      </w:r>
      <w:r w:rsidRPr="00F972D7">
        <w:rPr>
          <w:rFonts w:eastAsia="Times New Roman"/>
          <w:b/>
          <w:bCs/>
          <w:szCs w:val="24"/>
          <w:lang w:val="en-US"/>
        </w:rPr>
        <w:t>O&amp;M Expenses for FY 201</w:t>
      </w:r>
      <w:r w:rsidR="0007332B">
        <w:rPr>
          <w:rFonts w:eastAsia="Times New Roman"/>
          <w:b/>
          <w:bCs/>
          <w:szCs w:val="24"/>
          <w:lang w:val="en-US"/>
        </w:rPr>
        <w:t>9</w:t>
      </w:r>
      <w:r w:rsidRPr="00F972D7">
        <w:rPr>
          <w:rFonts w:eastAsia="Times New Roman"/>
          <w:b/>
          <w:bCs/>
          <w:szCs w:val="24"/>
          <w:lang w:val="en-US"/>
        </w:rPr>
        <w:t>-</w:t>
      </w:r>
      <w:r w:rsidR="0007332B">
        <w:rPr>
          <w:rFonts w:eastAsia="Times New Roman"/>
          <w:b/>
          <w:bCs/>
          <w:szCs w:val="24"/>
          <w:lang w:val="en-US"/>
        </w:rPr>
        <w:t>20</w:t>
      </w:r>
      <w:r w:rsidRPr="00F972D7">
        <w:rPr>
          <w:rFonts w:eastAsia="Times New Roman"/>
          <w:b/>
          <w:bCs/>
          <w:szCs w:val="24"/>
          <w:lang w:val="en-US"/>
        </w:rPr>
        <w:t>(Rs. Crore)</w:t>
      </w:r>
      <w:bookmarkEnd w:id="371"/>
    </w:p>
    <w:tbl>
      <w:tblPr>
        <w:tblW w:w="3984" w:type="pct"/>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tblPr>
      <w:tblGrid>
        <w:gridCol w:w="767"/>
        <w:gridCol w:w="3341"/>
        <w:gridCol w:w="1904"/>
        <w:gridCol w:w="1357"/>
      </w:tblGrid>
      <w:tr w:rsidR="00FF6B72" w:rsidRPr="00F972D7" w:rsidTr="00095FD5">
        <w:trPr>
          <w:trHeight w:val="113"/>
          <w:tblHeader/>
        </w:trPr>
        <w:tc>
          <w:tcPr>
            <w:tcW w:w="520" w:type="pct"/>
            <w:shd w:val="clear" w:color="auto" w:fill="FABF8F" w:themeFill="accent6" w:themeFillTint="99"/>
          </w:tcPr>
          <w:p w:rsidR="00FF6B72" w:rsidRPr="00F972D7" w:rsidRDefault="00FF6B72" w:rsidP="008F275E">
            <w:pPr>
              <w:widowControl w:val="0"/>
              <w:spacing w:line="276" w:lineRule="auto"/>
              <w:rPr>
                <w:rFonts w:eastAsia="Times New Roman"/>
                <w:b/>
                <w:szCs w:val="24"/>
                <w:lang w:val="en-US"/>
              </w:rPr>
            </w:pPr>
            <w:r w:rsidRPr="00F972D7">
              <w:rPr>
                <w:rFonts w:eastAsia="Times New Roman"/>
                <w:b/>
                <w:szCs w:val="24"/>
                <w:lang w:val="en-US"/>
              </w:rPr>
              <w:t xml:space="preserve">Sr. No. </w:t>
            </w:r>
          </w:p>
        </w:tc>
        <w:tc>
          <w:tcPr>
            <w:tcW w:w="2266" w:type="pct"/>
            <w:shd w:val="clear" w:color="auto" w:fill="FABF8F" w:themeFill="accent6" w:themeFillTint="99"/>
            <w:vAlign w:val="center"/>
            <w:hideMark/>
          </w:tcPr>
          <w:p w:rsidR="00FF6B72" w:rsidRPr="00F972D7" w:rsidRDefault="00FF6B72" w:rsidP="008F275E">
            <w:pPr>
              <w:widowControl w:val="0"/>
              <w:spacing w:line="276" w:lineRule="auto"/>
              <w:ind w:left="112"/>
              <w:rPr>
                <w:rFonts w:eastAsia="Times New Roman"/>
                <w:b/>
                <w:szCs w:val="24"/>
                <w:lang w:val="en-US"/>
              </w:rPr>
            </w:pPr>
            <w:r w:rsidRPr="00F972D7">
              <w:rPr>
                <w:rFonts w:eastAsia="Times New Roman"/>
                <w:b/>
                <w:szCs w:val="24"/>
                <w:lang w:val="en-US"/>
              </w:rPr>
              <w:t>Particulars</w:t>
            </w:r>
          </w:p>
        </w:tc>
        <w:tc>
          <w:tcPr>
            <w:tcW w:w="1292" w:type="pct"/>
            <w:shd w:val="clear" w:color="auto" w:fill="FABF8F" w:themeFill="accent6" w:themeFillTint="99"/>
            <w:vAlign w:val="center"/>
          </w:tcPr>
          <w:p w:rsidR="00FF6B72" w:rsidRPr="00F972D7" w:rsidRDefault="00802733" w:rsidP="008F275E">
            <w:pPr>
              <w:widowControl w:val="0"/>
              <w:spacing w:line="276" w:lineRule="auto"/>
              <w:jc w:val="center"/>
              <w:rPr>
                <w:b/>
                <w:szCs w:val="24"/>
              </w:rPr>
            </w:pPr>
            <w:r>
              <w:rPr>
                <w:b/>
                <w:szCs w:val="24"/>
              </w:rPr>
              <w:t>Legend</w:t>
            </w:r>
          </w:p>
        </w:tc>
        <w:tc>
          <w:tcPr>
            <w:tcW w:w="921" w:type="pct"/>
            <w:shd w:val="clear" w:color="auto" w:fill="FABF8F" w:themeFill="accent6" w:themeFillTint="99"/>
            <w:vAlign w:val="center"/>
            <w:hideMark/>
          </w:tcPr>
          <w:p w:rsidR="00FF6B72" w:rsidRPr="00F972D7" w:rsidRDefault="00004B5C" w:rsidP="008F275E">
            <w:pPr>
              <w:widowControl w:val="0"/>
              <w:spacing w:line="276" w:lineRule="auto"/>
              <w:jc w:val="center"/>
              <w:rPr>
                <w:b/>
                <w:szCs w:val="24"/>
              </w:rPr>
            </w:pPr>
            <w:r>
              <w:rPr>
                <w:b/>
                <w:szCs w:val="24"/>
              </w:rPr>
              <w:t>FY 2019-20</w:t>
            </w:r>
          </w:p>
        </w:tc>
      </w:tr>
      <w:tr w:rsidR="00FF6B72" w:rsidRPr="00F972D7" w:rsidTr="00095FD5">
        <w:trPr>
          <w:trHeight w:val="113"/>
        </w:trPr>
        <w:tc>
          <w:tcPr>
            <w:tcW w:w="520" w:type="pct"/>
          </w:tcPr>
          <w:p w:rsidR="00FF6B72" w:rsidRDefault="00FF6B72" w:rsidP="008F275E">
            <w:pPr>
              <w:pStyle w:val="ListParagraph"/>
              <w:numPr>
                <w:ilvl w:val="0"/>
                <w:numId w:val="11"/>
              </w:numPr>
              <w:spacing w:line="276" w:lineRule="auto"/>
              <w:jc w:val="center"/>
              <w:rPr>
                <w:b/>
                <w:kern w:val="32"/>
                <w:sz w:val="28"/>
                <w:szCs w:val="24"/>
                <w:lang w:val="en-US"/>
              </w:rPr>
            </w:pPr>
          </w:p>
        </w:tc>
        <w:tc>
          <w:tcPr>
            <w:tcW w:w="2266" w:type="pct"/>
            <w:shd w:val="clear" w:color="auto" w:fill="auto"/>
            <w:vAlign w:val="center"/>
            <w:hideMark/>
          </w:tcPr>
          <w:p w:rsidR="00FF6B72" w:rsidRPr="00F972D7" w:rsidRDefault="00FF6B72" w:rsidP="008F275E">
            <w:pPr>
              <w:widowControl w:val="0"/>
              <w:spacing w:line="276" w:lineRule="auto"/>
              <w:ind w:left="112"/>
              <w:rPr>
                <w:rFonts w:eastAsia="Times New Roman"/>
                <w:szCs w:val="24"/>
                <w:lang w:val="en-US"/>
              </w:rPr>
            </w:pPr>
            <w:r w:rsidRPr="00F972D7">
              <w:rPr>
                <w:rFonts w:eastAsia="Times New Roman"/>
                <w:szCs w:val="24"/>
                <w:lang w:val="en-US"/>
              </w:rPr>
              <w:t>Capital Cost of Project considered for O&amp;M Expenses as per Amended PPA</w:t>
            </w:r>
          </w:p>
        </w:tc>
        <w:tc>
          <w:tcPr>
            <w:tcW w:w="1292" w:type="pct"/>
            <w:vAlign w:val="center"/>
          </w:tcPr>
          <w:p w:rsidR="00FF6B72" w:rsidRPr="00F972D7" w:rsidDel="00760A1D" w:rsidRDefault="00FF6B72" w:rsidP="008F275E">
            <w:pPr>
              <w:widowControl w:val="0"/>
              <w:spacing w:line="276" w:lineRule="auto"/>
              <w:jc w:val="center"/>
              <w:rPr>
                <w:szCs w:val="24"/>
              </w:rPr>
            </w:pPr>
            <w:r>
              <w:rPr>
                <w:szCs w:val="24"/>
              </w:rPr>
              <w:t>a</w:t>
            </w:r>
          </w:p>
        </w:tc>
        <w:tc>
          <w:tcPr>
            <w:tcW w:w="921" w:type="pct"/>
            <w:shd w:val="clear" w:color="auto" w:fill="auto"/>
            <w:vAlign w:val="center"/>
            <w:hideMark/>
          </w:tcPr>
          <w:p w:rsidR="00FF6B72" w:rsidRPr="00F972D7" w:rsidRDefault="00FF6B72" w:rsidP="008F275E">
            <w:pPr>
              <w:widowControl w:val="0"/>
              <w:spacing w:line="276" w:lineRule="auto"/>
              <w:jc w:val="center"/>
              <w:rPr>
                <w:szCs w:val="24"/>
              </w:rPr>
            </w:pPr>
            <w:r w:rsidRPr="00F972D7">
              <w:rPr>
                <w:szCs w:val="24"/>
              </w:rPr>
              <w:t>1030.00</w:t>
            </w:r>
          </w:p>
        </w:tc>
      </w:tr>
      <w:tr w:rsidR="00FF6B72" w:rsidRPr="00F972D7" w:rsidTr="00095FD5">
        <w:trPr>
          <w:trHeight w:val="113"/>
        </w:trPr>
        <w:tc>
          <w:tcPr>
            <w:tcW w:w="520" w:type="pct"/>
          </w:tcPr>
          <w:p w:rsidR="00FF6B72" w:rsidRDefault="00FF6B72" w:rsidP="008F275E">
            <w:pPr>
              <w:pStyle w:val="ListParagraph"/>
              <w:numPr>
                <w:ilvl w:val="0"/>
                <w:numId w:val="11"/>
              </w:numPr>
              <w:spacing w:line="276" w:lineRule="auto"/>
              <w:jc w:val="center"/>
              <w:rPr>
                <w:b/>
                <w:kern w:val="32"/>
                <w:sz w:val="28"/>
                <w:szCs w:val="24"/>
                <w:lang w:val="en-US"/>
              </w:rPr>
            </w:pPr>
          </w:p>
        </w:tc>
        <w:tc>
          <w:tcPr>
            <w:tcW w:w="2266" w:type="pct"/>
            <w:shd w:val="clear" w:color="auto" w:fill="auto"/>
            <w:vAlign w:val="center"/>
          </w:tcPr>
          <w:p w:rsidR="00FF6B72" w:rsidRPr="00F972D7" w:rsidRDefault="00FF6B72" w:rsidP="008F275E">
            <w:pPr>
              <w:widowControl w:val="0"/>
              <w:spacing w:line="276" w:lineRule="auto"/>
              <w:ind w:left="112"/>
              <w:rPr>
                <w:rFonts w:eastAsia="Times New Roman"/>
                <w:szCs w:val="24"/>
                <w:lang w:val="en-US"/>
              </w:rPr>
            </w:pPr>
            <w:r w:rsidRPr="00F972D7">
              <w:rPr>
                <w:rFonts w:eastAsia="Times New Roman"/>
                <w:szCs w:val="24"/>
                <w:lang w:val="en-US"/>
              </w:rPr>
              <w:t>O&amp;M Expenses for first year @ 2.5% of Capital Cost</w:t>
            </w:r>
          </w:p>
        </w:tc>
        <w:tc>
          <w:tcPr>
            <w:tcW w:w="1292" w:type="pct"/>
            <w:vAlign w:val="center"/>
          </w:tcPr>
          <w:p w:rsidR="00FF6B72" w:rsidRPr="00F972D7" w:rsidRDefault="00FF6B72" w:rsidP="008F275E">
            <w:pPr>
              <w:widowControl w:val="0"/>
              <w:spacing w:line="276" w:lineRule="auto"/>
              <w:jc w:val="center"/>
              <w:rPr>
                <w:szCs w:val="24"/>
              </w:rPr>
            </w:pPr>
            <w:r w:rsidRPr="00F972D7">
              <w:rPr>
                <w:szCs w:val="24"/>
              </w:rPr>
              <w:t>b=a*2.5%</w:t>
            </w:r>
          </w:p>
        </w:tc>
        <w:tc>
          <w:tcPr>
            <w:tcW w:w="921" w:type="pct"/>
            <w:shd w:val="clear" w:color="auto" w:fill="auto"/>
            <w:vAlign w:val="center"/>
          </w:tcPr>
          <w:p w:rsidR="00FF6B72" w:rsidRPr="00F972D7" w:rsidRDefault="00FF6B72" w:rsidP="008F275E">
            <w:pPr>
              <w:widowControl w:val="0"/>
              <w:spacing w:line="276" w:lineRule="auto"/>
              <w:jc w:val="center"/>
              <w:rPr>
                <w:szCs w:val="24"/>
              </w:rPr>
            </w:pPr>
            <w:r w:rsidRPr="00F972D7">
              <w:rPr>
                <w:szCs w:val="24"/>
              </w:rPr>
              <w:t>25.75</w:t>
            </w:r>
          </w:p>
        </w:tc>
      </w:tr>
      <w:tr w:rsidR="00FF6B72" w:rsidRPr="00F972D7" w:rsidTr="00095FD5">
        <w:trPr>
          <w:trHeight w:val="113"/>
        </w:trPr>
        <w:tc>
          <w:tcPr>
            <w:tcW w:w="520" w:type="pct"/>
          </w:tcPr>
          <w:p w:rsidR="00FF6B72" w:rsidRDefault="00FF6B72" w:rsidP="008F275E">
            <w:pPr>
              <w:pStyle w:val="ListParagraph"/>
              <w:numPr>
                <w:ilvl w:val="0"/>
                <w:numId w:val="11"/>
              </w:numPr>
              <w:spacing w:line="276" w:lineRule="auto"/>
              <w:jc w:val="center"/>
              <w:rPr>
                <w:b/>
                <w:kern w:val="32"/>
                <w:sz w:val="28"/>
                <w:szCs w:val="24"/>
                <w:lang w:val="en-US"/>
              </w:rPr>
            </w:pPr>
          </w:p>
        </w:tc>
        <w:tc>
          <w:tcPr>
            <w:tcW w:w="2266" w:type="pct"/>
            <w:shd w:val="clear" w:color="auto" w:fill="auto"/>
            <w:vAlign w:val="center"/>
          </w:tcPr>
          <w:p w:rsidR="00FF6B72" w:rsidRPr="00F972D7" w:rsidRDefault="00FF6B72" w:rsidP="008F275E">
            <w:pPr>
              <w:widowControl w:val="0"/>
              <w:spacing w:line="276" w:lineRule="auto"/>
              <w:ind w:left="112"/>
              <w:rPr>
                <w:rFonts w:eastAsia="Times New Roman"/>
                <w:szCs w:val="24"/>
                <w:lang w:val="en-US"/>
              </w:rPr>
            </w:pPr>
            <w:r w:rsidRPr="00F972D7">
              <w:rPr>
                <w:rFonts w:eastAsia="Times New Roman"/>
                <w:szCs w:val="24"/>
                <w:lang w:val="en-US"/>
              </w:rPr>
              <w:t>Escalation rate</w:t>
            </w:r>
          </w:p>
        </w:tc>
        <w:tc>
          <w:tcPr>
            <w:tcW w:w="1292" w:type="pct"/>
            <w:vAlign w:val="center"/>
          </w:tcPr>
          <w:p w:rsidR="00FF6B72" w:rsidRPr="00F972D7" w:rsidRDefault="00FF6B72" w:rsidP="008F275E">
            <w:pPr>
              <w:widowControl w:val="0"/>
              <w:spacing w:line="276" w:lineRule="auto"/>
              <w:jc w:val="center"/>
              <w:rPr>
                <w:szCs w:val="24"/>
              </w:rPr>
            </w:pPr>
            <w:r w:rsidRPr="00F972D7">
              <w:rPr>
                <w:szCs w:val="24"/>
              </w:rPr>
              <w:t>c</w:t>
            </w:r>
          </w:p>
        </w:tc>
        <w:tc>
          <w:tcPr>
            <w:tcW w:w="921" w:type="pct"/>
            <w:shd w:val="clear" w:color="auto" w:fill="auto"/>
            <w:vAlign w:val="center"/>
          </w:tcPr>
          <w:p w:rsidR="00FF6B72" w:rsidRPr="00F972D7" w:rsidRDefault="00FF6B72" w:rsidP="008F275E">
            <w:pPr>
              <w:widowControl w:val="0"/>
              <w:spacing w:line="276" w:lineRule="auto"/>
              <w:jc w:val="center"/>
              <w:rPr>
                <w:szCs w:val="24"/>
              </w:rPr>
            </w:pPr>
            <w:r w:rsidRPr="00F972D7">
              <w:rPr>
                <w:szCs w:val="24"/>
              </w:rPr>
              <w:t>8.00%</w:t>
            </w:r>
          </w:p>
        </w:tc>
      </w:tr>
      <w:tr w:rsidR="00FF6B72" w:rsidRPr="00F972D7" w:rsidTr="00095FD5">
        <w:trPr>
          <w:trHeight w:val="113"/>
        </w:trPr>
        <w:tc>
          <w:tcPr>
            <w:tcW w:w="520" w:type="pct"/>
          </w:tcPr>
          <w:p w:rsidR="00FF6B72" w:rsidRDefault="00FF6B72" w:rsidP="008F275E">
            <w:pPr>
              <w:pStyle w:val="ListParagraph"/>
              <w:numPr>
                <w:ilvl w:val="0"/>
                <w:numId w:val="11"/>
              </w:numPr>
              <w:spacing w:line="276" w:lineRule="auto"/>
              <w:jc w:val="center"/>
              <w:rPr>
                <w:b/>
                <w:kern w:val="32"/>
                <w:sz w:val="28"/>
                <w:szCs w:val="24"/>
                <w:lang w:val="en-US"/>
              </w:rPr>
            </w:pPr>
          </w:p>
        </w:tc>
        <w:tc>
          <w:tcPr>
            <w:tcW w:w="2266" w:type="pct"/>
            <w:shd w:val="clear" w:color="auto" w:fill="auto"/>
            <w:vAlign w:val="center"/>
          </w:tcPr>
          <w:p w:rsidR="00FF6B72" w:rsidRPr="00F972D7" w:rsidRDefault="00FF6B72" w:rsidP="008F275E">
            <w:pPr>
              <w:widowControl w:val="0"/>
              <w:spacing w:line="276" w:lineRule="auto"/>
              <w:ind w:left="112"/>
              <w:rPr>
                <w:rFonts w:eastAsia="Times New Roman"/>
                <w:szCs w:val="24"/>
                <w:lang w:val="en-US"/>
              </w:rPr>
            </w:pPr>
            <w:r w:rsidRPr="00F972D7">
              <w:rPr>
                <w:rFonts w:eastAsia="Times New Roman"/>
                <w:szCs w:val="24"/>
                <w:lang w:val="en-US"/>
              </w:rPr>
              <w:t>O&amp;M Expenses</w:t>
            </w:r>
          </w:p>
        </w:tc>
        <w:tc>
          <w:tcPr>
            <w:tcW w:w="1292" w:type="pct"/>
            <w:vAlign w:val="center"/>
          </w:tcPr>
          <w:p w:rsidR="00FF6B72" w:rsidRPr="00F972D7" w:rsidRDefault="00FF6B72" w:rsidP="008F275E">
            <w:pPr>
              <w:widowControl w:val="0"/>
              <w:spacing w:line="276" w:lineRule="auto"/>
              <w:jc w:val="center"/>
              <w:rPr>
                <w:szCs w:val="24"/>
              </w:rPr>
            </w:pPr>
            <w:r w:rsidRPr="00F972D7">
              <w:rPr>
                <w:szCs w:val="24"/>
              </w:rPr>
              <w:t>d=b*((1+c)^2</w:t>
            </w:r>
            <w:r w:rsidR="0007332B">
              <w:rPr>
                <w:szCs w:val="24"/>
              </w:rPr>
              <w:t>3</w:t>
            </w:r>
            <w:r w:rsidRPr="00F972D7">
              <w:rPr>
                <w:szCs w:val="24"/>
              </w:rPr>
              <w:t>)</w:t>
            </w:r>
          </w:p>
        </w:tc>
        <w:tc>
          <w:tcPr>
            <w:tcW w:w="921" w:type="pct"/>
            <w:shd w:val="clear" w:color="auto" w:fill="auto"/>
            <w:vAlign w:val="center"/>
          </w:tcPr>
          <w:p w:rsidR="00FF6B72" w:rsidRPr="00F972D7" w:rsidRDefault="00561071" w:rsidP="008F275E">
            <w:pPr>
              <w:widowControl w:val="0"/>
              <w:spacing w:line="276" w:lineRule="auto"/>
              <w:jc w:val="center"/>
              <w:rPr>
                <w:szCs w:val="24"/>
              </w:rPr>
            </w:pPr>
            <w:r>
              <w:rPr>
                <w:szCs w:val="24"/>
              </w:rPr>
              <w:t>151.19</w:t>
            </w:r>
          </w:p>
        </w:tc>
      </w:tr>
    </w:tbl>
    <w:p w:rsidR="00FF6B72" w:rsidRPr="00F972D7" w:rsidRDefault="00FF6B72" w:rsidP="00FF6B72">
      <w:pPr>
        <w:pStyle w:val="Heading3"/>
        <w:keepNext w:val="0"/>
        <w:widowControl w:val="0"/>
        <w:numPr>
          <w:ilvl w:val="0"/>
          <w:numId w:val="0"/>
        </w:numPr>
        <w:spacing w:before="0" w:after="0"/>
        <w:ind w:left="720" w:hanging="720"/>
        <w:rPr>
          <w:rFonts w:ascii="Times New Roman" w:hAnsi="Times New Roman"/>
          <w:b/>
          <w:i/>
          <w:szCs w:val="24"/>
        </w:rPr>
      </w:pPr>
    </w:p>
    <w:p w:rsidR="00FF6B72" w:rsidRPr="00F972D7" w:rsidRDefault="00FF6B72" w:rsidP="00FF6B72">
      <w:pPr>
        <w:pStyle w:val="Heading2"/>
      </w:pPr>
      <w:r w:rsidRPr="00F972D7">
        <w:t xml:space="preserve">OPGC humbly request the Hon’ble OERC to approve O&amp;M Expenses of Rs. </w:t>
      </w:r>
      <w:r w:rsidR="00C37001">
        <w:t>151.19</w:t>
      </w:r>
      <w:r w:rsidRPr="00F972D7">
        <w:t xml:space="preserve"> Crore for FY 201</w:t>
      </w:r>
      <w:r w:rsidR="00802733">
        <w:t>9</w:t>
      </w:r>
      <w:r w:rsidRPr="00F972D7">
        <w:t>-</w:t>
      </w:r>
      <w:r w:rsidR="00802733">
        <w:t>20</w:t>
      </w:r>
      <w:r w:rsidRPr="00F972D7">
        <w:t>.</w:t>
      </w:r>
    </w:p>
    <w:p w:rsidR="00FF6B72" w:rsidRDefault="00FF6B72" w:rsidP="00FF6B72"/>
    <w:p w:rsidR="002D2914" w:rsidRPr="00F972D7" w:rsidRDefault="002D2914" w:rsidP="00FF6B72"/>
    <w:p w:rsidR="00FF6B72" w:rsidRPr="00F972D7" w:rsidRDefault="00FF6B72" w:rsidP="00FF6B72">
      <w:pPr>
        <w:pStyle w:val="Heading3"/>
        <w:keepNext w:val="0"/>
        <w:widowControl w:val="0"/>
        <w:numPr>
          <w:ilvl w:val="0"/>
          <w:numId w:val="0"/>
        </w:numPr>
        <w:spacing w:before="0" w:after="0"/>
        <w:ind w:left="720" w:hanging="720"/>
        <w:rPr>
          <w:rFonts w:ascii="Times New Roman" w:hAnsi="Times New Roman"/>
          <w:b/>
          <w:i/>
          <w:szCs w:val="24"/>
        </w:rPr>
      </w:pPr>
      <w:r w:rsidRPr="00F972D7">
        <w:rPr>
          <w:rFonts w:ascii="Times New Roman" w:hAnsi="Times New Roman"/>
          <w:b/>
          <w:i/>
          <w:szCs w:val="24"/>
        </w:rPr>
        <w:t>Interest on Working Capital</w:t>
      </w:r>
      <w:bookmarkEnd w:id="370"/>
    </w:p>
    <w:p w:rsidR="00FF6B72" w:rsidRPr="00F972D7" w:rsidRDefault="00FF6B72" w:rsidP="00FF6B72">
      <w:pPr>
        <w:pStyle w:val="Heading2"/>
      </w:pPr>
      <w:bookmarkStart w:id="372" w:name="_Toc436552928"/>
      <w:r w:rsidRPr="00F972D7">
        <w:t xml:space="preserve">The Clause 3.0 (f) of Schedule II of the Amended PPA provides the Interest on working Capital as under: </w:t>
      </w:r>
    </w:p>
    <w:p w:rsidR="00FF6B72" w:rsidRPr="00F972D7" w:rsidRDefault="00FF6B72" w:rsidP="00FF6B72">
      <w:pPr>
        <w:pStyle w:val="Verbatium"/>
      </w:pPr>
      <w:r w:rsidRPr="00F972D7">
        <w:t xml:space="preserve">“f) </w:t>
      </w:r>
      <w:r w:rsidRPr="00F972D7">
        <w:tab/>
        <w:t>Interest on Working Capital will be worked out on the following basis on normative level of generation calculated at the rate of interest applicable to OPGC for its Working capital facility as on the fixed charge computation date</w:t>
      </w:r>
    </w:p>
    <w:p w:rsidR="00FF6B72" w:rsidRDefault="00FF6B72" w:rsidP="00FF6B72">
      <w:pPr>
        <w:pStyle w:val="Verbatium"/>
        <w:numPr>
          <w:ilvl w:val="0"/>
          <w:numId w:val="16"/>
        </w:numPr>
      </w:pPr>
      <w:r w:rsidRPr="00F972D7">
        <w:t>Coal cost for 1.5 months</w:t>
      </w:r>
    </w:p>
    <w:p w:rsidR="00FF6B72" w:rsidRDefault="00FF6B72" w:rsidP="00FF6B72">
      <w:pPr>
        <w:pStyle w:val="Verbatium"/>
        <w:numPr>
          <w:ilvl w:val="0"/>
          <w:numId w:val="16"/>
        </w:numPr>
      </w:pPr>
      <w:r w:rsidRPr="00F972D7">
        <w:t>Oil cost for 2 months</w:t>
      </w:r>
    </w:p>
    <w:p w:rsidR="00FF6B72" w:rsidRDefault="00FF6B72" w:rsidP="00FF6B72">
      <w:pPr>
        <w:pStyle w:val="Verbatium"/>
        <w:numPr>
          <w:ilvl w:val="0"/>
          <w:numId w:val="16"/>
        </w:numPr>
      </w:pPr>
      <w:r w:rsidRPr="00F972D7">
        <w:t>O&amp;M expenses for 1 month</w:t>
      </w:r>
    </w:p>
    <w:p w:rsidR="00FF6B72" w:rsidRDefault="00FF6B72" w:rsidP="00FF6B72">
      <w:pPr>
        <w:pStyle w:val="Verbatium"/>
        <w:numPr>
          <w:ilvl w:val="0"/>
          <w:numId w:val="16"/>
        </w:numPr>
      </w:pPr>
      <w:r w:rsidRPr="00F972D7">
        <w:t>Receivables for 2 months ”</w:t>
      </w:r>
    </w:p>
    <w:p w:rsidR="00FF6B72" w:rsidRPr="00F972D7" w:rsidRDefault="00FF6B72" w:rsidP="00FF6B72">
      <w:pPr>
        <w:pStyle w:val="Heading2"/>
        <w:numPr>
          <w:ilvl w:val="0"/>
          <w:numId w:val="0"/>
        </w:numPr>
        <w:ind w:left="576"/>
      </w:pPr>
    </w:p>
    <w:p w:rsidR="00FF6B72" w:rsidRDefault="00FF6B72" w:rsidP="00FF6B72">
      <w:pPr>
        <w:pStyle w:val="Heading2"/>
      </w:pPr>
      <w:r w:rsidRPr="00F972D7">
        <w:t>As regards the rate of interest, the above said clause stipulates the interest rate applicable to OPGC for its Working Capital facility. It is submitted that OPGC has been meeting its working capital requirement through internal accruals.</w:t>
      </w:r>
      <w:bookmarkEnd w:id="372"/>
    </w:p>
    <w:p w:rsidR="00FF6B72" w:rsidRDefault="00FF6B72" w:rsidP="00FF6B72">
      <w:pPr>
        <w:pStyle w:val="Heading2"/>
        <w:numPr>
          <w:ilvl w:val="0"/>
          <w:numId w:val="0"/>
        </w:numPr>
      </w:pPr>
    </w:p>
    <w:p w:rsidR="00FF6B72" w:rsidRDefault="00FF6B72" w:rsidP="00FF6B72">
      <w:pPr>
        <w:pStyle w:val="Heading2"/>
      </w:pPr>
      <w:bookmarkStart w:id="373" w:name="_Toc436552929"/>
      <w:r>
        <w:t xml:space="preserve">As OPGC had not availed any actual working capital loan </w:t>
      </w:r>
      <w:r w:rsidRPr="001D4B5A">
        <w:t>during FY 2018-19</w:t>
      </w:r>
      <w:r w:rsidR="00B612B7">
        <w:t xml:space="preserve"> till date</w:t>
      </w:r>
      <w:r w:rsidRPr="001D4B5A">
        <w:t>, the rate of interest for FY 201</w:t>
      </w:r>
      <w:r w:rsidR="00044506">
        <w:t>9</w:t>
      </w:r>
      <w:r w:rsidRPr="001D4B5A">
        <w:t>-</w:t>
      </w:r>
      <w:r w:rsidR="00044506">
        <w:t>20</w:t>
      </w:r>
      <w:r w:rsidRPr="001D4B5A">
        <w:t xml:space="preserve"> has been considered as 1</w:t>
      </w:r>
      <w:r w:rsidR="00BC60C5">
        <w:t>1.50</w:t>
      </w:r>
      <w:r w:rsidRPr="001D4B5A">
        <w:t xml:space="preserve">% </w:t>
      </w:r>
      <w:r w:rsidR="00BC60C5">
        <w:t>(SBI 1 year MCLR as on date @8.50%+300 basis point</w:t>
      </w:r>
      <w:r w:rsidR="002D2914">
        <w:t>)</w:t>
      </w:r>
      <w:r w:rsidR="00BC60C5">
        <w:t xml:space="preserve"> </w:t>
      </w:r>
      <w:r w:rsidR="00A55B39" w:rsidRPr="001D4B5A">
        <w:t>in accordance with Regulation 4.26 of the OERC Generation Tariff Regulations, 2014</w:t>
      </w:r>
      <w:r w:rsidR="00BC60C5">
        <w:t>.</w:t>
      </w:r>
    </w:p>
    <w:p w:rsidR="007D6EBA" w:rsidRDefault="007D6EBA" w:rsidP="007D6EBA">
      <w:pPr>
        <w:rPr>
          <w:lang w:val="en-GB"/>
        </w:rPr>
      </w:pPr>
    </w:p>
    <w:p w:rsidR="007D6EBA" w:rsidRDefault="007D6EBA" w:rsidP="007D6EBA">
      <w:pPr>
        <w:pStyle w:val="Heading2"/>
      </w:pPr>
      <w:r>
        <w:t>Hon’ble Supreme Court in its Judgment dated April 19, 2018 ruled that for the costs not reflected in the PPA, the statutory Regulations may be applied.</w:t>
      </w:r>
      <w:r w:rsidR="002D2914">
        <w:t xml:space="preserve"> </w:t>
      </w:r>
      <w:r>
        <w:t>Further, OPGC submits that Hon’ble APTEL in its Judgment dated May 28, 2009 in Appeal No. 111 of 2008 ruled as under:</w:t>
      </w:r>
    </w:p>
    <w:p w:rsidR="007D6EBA" w:rsidRPr="00F24382" w:rsidRDefault="007D6EBA" w:rsidP="007D6EBA">
      <w:pPr>
        <w:ind w:left="1440"/>
        <w:rPr>
          <w:i/>
          <w:lang w:val="en-GB"/>
        </w:rPr>
      </w:pPr>
      <w:r>
        <w:rPr>
          <w:i/>
          <w:lang w:val="en-GB"/>
        </w:rPr>
        <w:t xml:space="preserve">“7) </w:t>
      </w:r>
      <w:r w:rsidRPr="00F24382">
        <w:rPr>
          <w:i/>
          <w:lang w:val="en-GB"/>
        </w:rPr>
        <w:t>The Commission observed that in actual fact no amount has been paid towards interest. Therefore, the entire interest on working capital granted as pass through in tariff has been treated as efficiency gain. It is true that internal funds also deserve interest in as much as the internal fund when employed as working capital loses the interest it could have earned by investment elsewhere. Further the licensee can never have any funds which has no cost.The internal accruals are not like some reserve which does not carry any cost</w:t>
      </w:r>
      <w:r>
        <w:rPr>
          <w:i/>
          <w:lang w:val="en-GB"/>
        </w:rPr>
        <w:t>……….”</w:t>
      </w:r>
    </w:p>
    <w:p w:rsidR="007D6EBA" w:rsidRDefault="007D6EBA" w:rsidP="007D6EBA"/>
    <w:p w:rsidR="007D6EBA" w:rsidRPr="007D6EBA" w:rsidRDefault="007D6EBA" w:rsidP="007D6EBA">
      <w:pPr>
        <w:pStyle w:val="Heading2"/>
      </w:pPr>
      <w:r>
        <w:t>In light of the above stated Judgments of Hon’ble Supreme Court and Hon’ble APTEL, OPGC requests the Hon’ble OERC to approve the interest on working capital considering the rate</w:t>
      </w:r>
      <w:r w:rsidR="00124C6B">
        <w:t xml:space="preserve"> as claimed in the Petition</w:t>
      </w:r>
      <w:r>
        <w:t>.</w:t>
      </w:r>
    </w:p>
    <w:p w:rsidR="00FF6B72" w:rsidRDefault="00FF6B72" w:rsidP="00FF6B72"/>
    <w:p w:rsidR="00FF6B72" w:rsidRDefault="00FF6B72" w:rsidP="00FF6B72">
      <w:pPr>
        <w:pStyle w:val="Heading2"/>
      </w:pPr>
      <w:r w:rsidRPr="00F972D7">
        <w:t>Accordingly, OPGC submits the Interest on Working Capital for FY 201</w:t>
      </w:r>
      <w:r w:rsidR="00C31D24">
        <w:t>9</w:t>
      </w:r>
      <w:r w:rsidRPr="00F972D7">
        <w:t>-</w:t>
      </w:r>
      <w:r w:rsidR="00C31D24">
        <w:t>20</w:t>
      </w:r>
      <w:r w:rsidR="002D2914">
        <w:t xml:space="preserve"> </w:t>
      </w:r>
      <w:r w:rsidRPr="00F972D7">
        <w:t>as under:</w:t>
      </w:r>
      <w:bookmarkEnd w:id="373"/>
    </w:p>
    <w:p w:rsidR="001658BE" w:rsidRPr="007F0104" w:rsidRDefault="001658BE" w:rsidP="00FF6B72">
      <w:pPr>
        <w:rPr>
          <w:lang w:val="en-GB"/>
        </w:rPr>
      </w:pPr>
    </w:p>
    <w:p w:rsidR="00FF6B72" w:rsidRPr="00F972D7" w:rsidRDefault="00FF6B72" w:rsidP="00FF6B72">
      <w:pPr>
        <w:widowControl w:val="0"/>
        <w:ind w:firstLine="578"/>
        <w:jc w:val="center"/>
        <w:rPr>
          <w:lang w:val="en-GB"/>
        </w:rPr>
      </w:pPr>
      <w:bookmarkStart w:id="374" w:name="_Toc514428008"/>
      <w:bookmarkStart w:id="375" w:name="_Toc530497538"/>
      <w:r w:rsidRPr="00F972D7">
        <w:rPr>
          <w:b/>
          <w:szCs w:val="24"/>
        </w:rPr>
        <w:t xml:space="preserve">Table </w:t>
      </w:r>
      <w:r w:rsidR="00687F74">
        <w:rPr>
          <w:b/>
          <w:szCs w:val="24"/>
        </w:rPr>
        <w:fldChar w:fldCharType="begin"/>
      </w:r>
      <w:r>
        <w:rPr>
          <w:b/>
          <w:szCs w:val="24"/>
        </w:rPr>
        <w:instrText xml:space="preserve"> STYLEREF 1 \s </w:instrText>
      </w:r>
      <w:r w:rsidR="00687F74">
        <w:rPr>
          <w:b/>
          <w:szCs w:val="24"/>
        </w:rPr>
        <w:fldChar w:fldCharType="separate"/>
      </w:r>
      <w:r w:rsidR="008A42C7">
        <w:rPr>
          <w:b/>
          <w:noProof/>
          <w:szCs w:val="24"/>
        </w:rPr>
        <w:t>3</w:t>
      </w:r>
      <w:r w:rsidR="00687F74">
        <w:rPr>
          <w:b/>
          <w:szCs w:val="24"/>
        </w:rPr>
        <w:fldChar w:fldCharType="end"/>
      </w:r>
      <w:r>
        <w:rPr>
          <w:b/>
          <w:szCs w:val="24"/>
        </w:rPr>
        <w:t>.</w:t>
      </w:r>
      <w:r w:rsidR="00687F74">
        <w:rPr>
          <w:b/>
          <w:szCs w:val="24"/>
        </w:rPr>
        <w:fldChar w:fldCharType="begin"/>
      </w:r>
      <w:r>
        <w:rPr>
          <w:b/>
          <w:szCs w:val="24"/>
        </w:rPr>
        <w:instrText xml:space="preserve"> SEQ Table \* ARABIC \s 1 </w:instrText>
      </w:r>
      <w:r w:rsidR="00687F74">
        <w:rPr>
          <w:b/>
          <w:szCs w:val="24"/>
        </w:rPr>
        <w:fldChar w:fldCharType="separate"/>
      </w:r>
      <w:r w:rsidR="008A42C7">
        <w:rPr>
          <w:b/>
          <w:noProof/>
          <w:szCs w:val="24"/>
        </w:rPr>
        <w:t>3</w:t>
      </w:r>
      <w:r w:rsidR="00687F74">
        <w:rPr>
          <w:b/>
          <w:szCs w:val="24"/>
        </w:rPr>
        <w:fldChar w:fldCharType="end"/>
      </w:r>
      <w:r w:rsidRPr="00F972D7">
        <w:rPr>
          <w:b/>
          <w:szCs w:val="24"/>
        </w:rPr>
        <w:t xml:space="preserve">: </w:t>
      </w:r>
      <w:r w:rsidRPr="00F972D7">
        <w:rPr>
          <w:rFonts w:eastAsia="Times New Roman"/>
          <w:b/>
          <w:bCs/>
          <w:szCs w:val="24"/>
          <w:lang w:val="en-US"/>
        </w:rPr>
        <w:t xml:space="preserve">Interest on Working Capital </w:t>
      </w:r>
      <w:r w:rsidR="00C779C1">
        <w:rPr>
          <w:rFonts w:eastAsia="Times New Roman"/>
          <w:b/>
          <w:bCs/>
          <w:szCs w:val="24"/>
          <w:lang w:val="en-US"/>
        </w:rPr>
        <w:t>corresponding to original project cost</w:t>
      </w:r>
      <w:r w:rsidRPr="00F972D7">
        <w:rPr>
          <w:rFonts w:eastAsia="Times New Roman"/>
          <w:b/>
          <w:bCs/>
          <w:szCs w:val="24"/>
          <w:lang w:val="en-US"/>
        </w:rPr>
        <w:t>(Rs. Crore)</w:t>
      </w:r>
      <w:bookmarkEnd w:id="374"/>
      <w:bookmarkEnd w:id="375"/>
    </w:p>
    <w:tbl>
      <w:tblPr>
        <w:tblW w:w="4292" w:type="pct"/>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tblPr>
      <w:tblGrid>
        <w:gridCol w:w="727"/>
        <w:gridCol w:w="4979"/>
        <w:gridCol w:w="2232"/>
      </w:tblGrid>
      <w:tr w:rsidR="00FF6B72" w:rsidRPr="00F972D7" w:rsidTr="000947DF">
        <w:trPr>
          <w:trHeight w:val="113"/>
          <w:tblHeader/>
        </w:trPr>
        <w:tc>
          <w:tcPr>
            <w:tcW w:w="458" w:type="pct"/>
            <w:shd w:val="clear" w:color="auto" w:fill="FABF8F" w:themeFill="accent6" w:themeFillTint="99"/>
            <w:vAlign w:val="center"/>
          </w:tcPr>
          <w:p w:rsidR="00FF6B72" w:rsidRPr="00F972D7" w:rsidRDefault="00FF6B72" w:rsidP="008F275E">
            <w:pPr>
              <w:widowControl w:val="0"/>
              <w:spacing w:line="276" w:lineRule="auto"/>
              <w:rPr>
                <w:rFonts w:eastAsia="Times New Roman"/>
                <w:b/>
                <w:szCs w:val="24"/>
                <w:lang w:val="en-US"/>
              </w:rPr>
            </w:pPr>
            <w:r w:rsidRPr="00F972D7">
              <w:rPr>
                <w:rFonts w:eastAsia="Times New Roman"/>
                <w:b/>
                <w:szCs w:val="24"/>
                <w:lang w:val="en-US"/>
              </w:rPr>
              <w:t xml:space="preserve">Sr. No. </w:t>
            </w:r>
          </w:p>
        </w:tc>
        <w:tc>
          <w:tcPr>
            <w:tcW w:w="3136" w:type="pct"/>
            <w:shd w:val="clear" w:color="auto" w:fill="FABF8F" w:themeFill="accent6" w:themeFillTint="99"/>
            <w:vAlign w:val="center"/>
            <w:hideMark/>
          </w:tcPr>
          <w:p w:rsidR="00FF6B72" w:rsidRPr="00F972D7" w:rsidRDefault="00FF6B72" w:rsidP="008F275E">
            <w:pPr>
              <w:widowControl w:val="0"/>
              <w:spacing w:line="276" w:lineRule="auto"/>
              <w:ind w:left="112"/>
              <w:rPr>
                <w:rFonts w:eastAsia="Times New Roman"/>
                <w:b/>
                <w:szCs w:val="24"/>
                <w:lang w:val="en-US"/>
              </w:rPr>
            </w:pPr>
            <w:r w:rsidRPr="00F972D7">
              <w:rPr>
                <w:rFonts w:eastAsia="Times New Roman"/>
                <w:b/>
                <w:szCs w:val="24"/>
                <w:lang w:val="en-US"/>
              </w:rPr>
              <w:t>Particulars</w:t>
            </w:r>
          </w:p>
        </w:tc>
        <w:tc>
          <w:tcPr>
            <w:tcW w:w="1406" w:type="pct"/>
            <w:shd w:val="clear" w:color="auto" w:fill="FABF8F" w:themeFill="accent6" w:themeFillTint="99"/>
            <w:vAlign w:val="center"/>
            <w:hideMark/>
          </w:tcPr>
          <w:p w:rsidR="00FF6B72" w:rsidRPr="00F972D7" w:rsidRDefault="008A08A0" w:rsidP="008F275E">
            <w:pPr>
              <w:widowControl w:val="0"/>
              <w:spacing w:line="276" w:lineRule="auto"/>
              <w:jc w:val="center"/>
              <w:rPr>
                <w:b/>
                <w:szCs w:val="24"/>
              </w:rPr>
            </w:pPr>
            <w:r>
              <w:rPr>
                <w:b/>
                <w:szCs w:val="24"/>
              </w:rPr>
              <w:t>FY 2019-20</w:t>
            </w:r>
          </w:p>
        </w:tc>
      </w:tr>
      <w:tr w:rsidR="0081235B" w:rsidRPr="00F972D7" w:rsidTr="000947DF">
        <w:trPr>
          <w:trHeight w:val="113"/>
        </w:trPr>
        <w:tc>
          <w:tcPr>
            <w:tcW w:w="458" w:type="pct"/>
            <w:vAlign w:val="center"/>
          </w:tcPr>
          <w:p w:rsidR="0081235B" w:rsidRDefault="0081235B" w:rsidP="0081235B">
            <w:pPr>
              <w:pStyle w:val="ListParagraph"/>
              <w:numPr>
                <w:ilvl w:val="0"/>
                <w:numId w:val="10"/>
              </w:numPr>
              <w:spacing w:line="276" w:lineRule="auto"/>
              <w:jc w:val="center"/>
              <w:rPr>
                <w:b/>
                <w:kern w:val="32"/>
                <w:sz w:val="28"/>
                <w:szCs w:val="24"/>
                <w:lang w:val="en-US"/>
              </w:rPr>
            </w:pPr>
          </w:p>
        </w:tc>
        <w:tc>
          <w:tcPr>
            <w:tcW w:w="3136" w:type="pct"/>
            <w:shd w:val="clear" w:color="auto" w:fill="auto"/>
            <w:vAlign w:val="center"/>
            <w:hideMark/>
          </w:tcPr>
          <w:p w:rsidR="0081235B" w:rsidRPr="00F972D7" w:rsidRDefault="0081235B" w:rsidP="0081235B">
            <w:pPr>
              <w:widowControl w:val="0"/>
              <w:spacing w:line="276" w:lineRule="auto"/>
              <w:ind w:left="112"/>
              <w:rPr>
                <w:rFonts w:eastAsia="Times New Roman"/>
                <w:szCs w:val="24"/>
                <w:lang w:val="en-US"/>
              </w:rPr>
            </w:pPr>
            <w:r w:rsidRPr="00F972D7">
              <w:rPr>
                <w:rFonts w:eastAsia="Times New Roman"/>
                <w:szCs w:val="24"/>
                <w:lang w:val="en-US"/>
              </w:rPr>
              <w:t>Cost of Coal for one and half months</w:t>
            </w:r>
          </w:p>
        </w:tc>
        <w:tc>
          <w:tcPr>
            <w:tcW w:w="1406" w:type="pct"/>
            <w:shd w:val="clear" w:color="auto" w:fill="auto"/>
            <w:vAlign w:val="center"/>
          </w:tcPr>
          <w:p w:rsidR="0081235B" w:rsidRPr="0081235B" w:rsidRDefault="0081235B" w:rsidP="0081235B">
            <w:pPr>
              <w:spacing w:line="240" w:lineRule="auto"/>
              <w:jc w:val="right"/>
              <w:rPr>
                <w:szCs w:val="24"/>
              </w:rPr>
            </w:pPr>
            <w:r w:rsidRPr="0081235B">
              <w:rPr>
                <w:szCs w:val="24"/>
              </w:rPr>
              <w:t>41.92</w:t>
            </w:r>
          </w:p>
        </w:tc>
      </w:tr>
      <w:tr w:rsidR="0081235B" w:rsidRPr="00F972D7" w:rsidTr="000947DF">
        <w:trPr>
          <w:trHeight w:val="113"/>
        </w:trPr>
        <w:tc>
          <w:tcPr>
            <w:tcW w:w="458" w:type="pct"/>
            <w:vAlign w:val="center"/>
          </w:tcPr>
          <w:p w:rsidR="0081235B" w:rsidRDefault="0081235B" w:rsidP="0081235B">
            <w:pPr>
              <w:pStyle w:val="ListParagraph"/>
              <w:numPr>
                <w:ilvl w:val="0"/>
                <w:numId w:val="10"/>
              </w:numPr>
              <w:spacing w:line="276" w:lineRule="auto"/>
              <w:jc w:val="center"/>
              <w:rPr>
                <w:b/>
                <w:kern w:val="32"/>
                <w:sz w:val="28"/>
                <w:szCs w:val="24"/>
                <w:lang w:val="en-US"/>
              </w:rPr>
            </w:pPr>
          </w:p>
        </w:tc>
        <w:tc>
          <w:tcPr>
            <w:tcW w:w="3136" w:type="pct"/>
            <w:shd w:val="clear" w:color="auto" w:fill="auto"/>
            <w:vAlign w:val="center"/>
          </w:tcPr>
          <w:p w:rsidR="0081235B" w:rsidRPr="00F972D7" w:rsidRDefault="0081235B" w:rsidP="0081235B">
            <w:pPr>
              <w:widowControl w:val="0"/>
              <w:spacing w:line="276" w:lineRule="auto"/>
              <w:ind w:left="112"/>
              <w:rPr>
                <w:rFonts w:eastAsia="Times New Roman"/>
                <w:szCs w:val="24"/>
                <w:lang w:val="en-US"/>
              </w:rPr>
            </w:pPr>
            <w:r w:rsidRPr="00F972D7">
              <w:rPr>
                <w:rFonts w:eastAsia="Times New Roman"/>
                <w:szCs w:val="24"/>
                <w:lang w:val="en-US"/>
              </w:rPr>
              <w:t>Cost of Secondary Fuel Oil for two months</w:t>
            </w:r>
          </w:p>
        </w:tc>
        <w:tc>
          <w:tcPr>
            <w:tcW w:w="1406" w:type="pct"/>
            <w:shd w:val="clear" w:color="auto" w:fill="auto"/>
            <w:vAlign w:val="center"/>
          </w:tcPr>
          <w:p w:rsidR="0081235B" w:rsidRPr="0081235B" w:rsidRDefault="00A7790B" w:rsidP="0081235B">
            <w:pPr>
              <w:jc w:val="right"/>
              <w:rPr>
                <w:szCs w:val="24"/>
              </w:rPr>
            </w:pPr>
            <w:r>
              <w:rPr>
                <w:szCs w:val="24"/>
              </w:rPr>
              <w:t>6.13</w:t>
            </w:r>
          </w:p>
        </w:tc>
      </w:tr>
      <w:tr w:rsidR="0081235B" w:rsidRPr="00F972D7" w:rsidTr="000947DF">
        <w:trPr>
          <w:trHeight w:val="113"/>
        </w:trPr>
        <w:tc>
          <w:tcPr>
            <w:tcW w:w="458" w:type="pct"/>
            <w:vAlign w:val="center"/>
          </w:tcPr>
          <w:p w:rsidR="0081235B" w:rsidRDefault="0081235B" w:rsidP="0081235B">
            <w:pPr>
              <w:pStyle w:val="ListParagraph"/>
              <w:numPr>
                <w:ilvl w:val="0"/>
                <w:numId w:val="10"/>
              </w:numPr>
              <w:spacing w:line="276" w:lineRule="auto"/>
              <w:jc w:val="center"/>
              <w:rPr>
                <w:b/>
                <w:kern w:val="32"/>
                <w:sz w:val="28"/>
                <w:szCs w:val="24"/>
                <w:lang w:val="en-US"/>
              </w:rPr>
            </w:pPr>
          </w:p>
        </w:tc>
        <w:tc>
          <w:tcPr>
            <w:tcW w:w="3136" w:type="pct"/>
            <w:shd w:val="clear" w:color="auto" w:fill="auto"/>
            <w:vAlign w:val="center"/>
          </w:tcPr>
          <w:p w:rsidR="0081235B" w:rsidRPr="00F972D7" w:rsidRDefault="0081235B" w:rsidP="0081235B">
            <w:pPr>
              <w:widowControl w:val="0"/>
              <w:spacing w:line="276" w:lineRule="auto"/>
              <w:ind w:left="112"/>
              <w:rPr>
                <w:rFonts w:eastAsia="Times New Roman"/>
                <w:szCs w:val="24"/>
                <w:lang w:val="en-US"/>
              </w:rPr>
            </w:pPr>
            <w:r w:rsidRPr="00F972D7">
              <w:rPr>
                <w:rFonts w:eastAsia="Times New Roman"/>
                <w:szCs w:val="24"/>
                <w:lang w:val="en-US"/>
              </w:rPr>
              <w:t>O&amp;M Expenses for one month</w:t>
            </w:r>
          </w:p>
        </w:tc>
        <w:tc>
          <w:tcPr>
            <w:tcW w:w="1406" w:type="pct"/>
            <w:shd w:val="clear" w:color="auto" w:fill="auto"/>
            <w:vAlign w:val="center"/>
          </w:tcPr>
          <w:p w:rsidR="0081235B" w:rsidRPr="0081235B" w:rsidRDefault="0081235B" w:rsidP="0081235B">
            <w:pPr>
              <w:jc w:val="right"/>
              <w:rPr>
                <w:szCs w:val="24"/>
              </w:rPr>
            </w:pPr>
            <w:r w:rsidRPr="0081235B">
              <w:rPr>
                <w:szCs w:val="24"/>
              </w:rPr>
              <w:t>12.60</w:t>
            </w:r>
          </w:p>
        </w:tc>
      </w:tr>
      <w:tr w:rsidR="0081235B" w:rsidRPr="00F972D7" w:rsidTr="000947DF">
        <w:trPr>
          <w:trHeight w:val="113"/>
        </w:trPr>
        <w:tc>
          <w:tcPr>
            <w:tcW w:w="458" w:type="pct"/>
            <w:vAlign w:val="center"/>
          </w:tcPr>
          <w:p w:rsidR="0081235B" w:rsidRDefault="0081235B" w:rsidP="0081235B">
            <w:pPr>
              <w:pStyle w:val="ListParagraph"/>
              <w:numPr>
                <w:ilvl w:val="0"/>
                <w:numId w:val="10"/>
              </w:numPr>
              <w:spacing w:line="276" w:lineRule="auto"/>
              <w:jc w:val="center"/>
              <w:rPr>
                <w:b/>
                <w:kern w:val="32"/>
                <w:sz w:val="28"/>
                <w:szCs w:val="24"/>
                <w:lang w:val="en-US"/>
              </w:rPr>
            </w:pPr>
          </w:p>
        </w:tc>
        <w:tc>
          <w:tcPr>
            <w:tcW w:w="3136" w:type="pct"/>
            <w:shd w:val="clear" w:color="auto" w:fill="auto"/>
            <w:vAlign w:val="center"/>
          </w:tcPr>
          <w:p w:rsidR="0081235B" w:rsidRPr="00F972D7" w:rsidRDefault="0081235B" w:rsidP="0081235B">
            <w:pPr>
              <w:widowControl w:val="0"/>
              <w:spacing w:line="276" w:lineRule="auto"/>
              <w:ind w:left="112"/>
              <w:rPr>
                <w:rFonts w:eastAsia="Times New Roman"/>
                <w:szCs w:val="24"/>
                <w:lang w:val="en-US"/>
              </w:rPr>
            </w:pPr>
            <w:r w:rsidRPr="00F972D7">
              <w:rPr>
                <w:rFonts w:eastAsia="Times New Roman"/>
                <w:szCs w:val="24"/>
                <w:lang w:val="en-US"/>
              </w:rPr>
              <w:t xml:space="preserve">Receivables equivalent to two months </w:t>
            </w:r>
          </w:p>
        </w:tc>
        <w:tc>
          <w:tcPr>
            <w:tcW w:w="1406" w:type="pct"/>
            <w:shd w:val="clear" w:color="auto" w:fill="auto"/>
            <w:vAlign w:val="center"/>
          </w:tcPr>
          <w:p w:rsidR="0081235B" w:rsidRPr="0081235B" w:rsidRDefault="0081235B" w:rsidP="0081235B">
            <w:pPr>
              <w:jc w:val="right"/>
              <w:rPr>
                <w:szCs w:val="24"/>
              </w:rPr>
            </w:pPr>
            <w:r w:rsidRPr="0081235B">
              <w:rPr>
                <w:szCs w:val="24"/>
              </w:rPr>
              <w:t>10</w:t>
            </w:r>
            <w:r w:rsidR="00A7790B">
              <w:rPr>
                <w:szCs w:val="24"/>
              </w:rPr>
              <w:t>2</w:t>
            </w:r>
            <w:r w:rsidRPr="0081235B">
              <w:rPr>
                <w:szCs w:val="24"/>
              </w:rPr>
              <w:t>.</w:t>
            </w:r>
            <w:r w:rsidR="00A7790B">
              <w:rPr>
                <w:szCs w:val="24"/>
              </w:rPr>
              <w:t>35</w:t>
            </w:r>
          </w:p>
        </w:tc>
      </w:tr>
      <w:tr w:rsidR="0081235B" w:rsidRPr="00F972D7" w:rsidTr="000947DF">
        <w:trPr>
          <w:trHeight w:val="113"/>
        </w:trPr>
        <w:tc>
          <w:tcPr>
            <w:tcW w:w="458" w:type="pct"/>
            <w:vAlign w:val="center"/>
          </w:tcPr>
          <w:p w:rsidR="0081235B" w:rsidRDefault="0081235B" w:rsidP="0081235B">
            <w:pPr>
              <w:pStyle w:val="ListParagraph"/>
              <w:numPr>
                <w:ilvl w:val="0"/>
                <w:numId w:val="10"/>
              </w:numPr>
              <w:spacing w:line="276" w:lineRule="auto"/>
              <w:jc w:val="center"/>
              <w:rPr>
                <w:b/>
                <w:kern w:val="32"/>
                <w:sz w:val="28"/>
                <w:szCs w:val="24"/>
                <w:lang w:val="en-US"/>
              </w:rPr>
            </w:pPr>
          </w:p>
        </w:tc>
        <w:tc>
          <w:tcPr>
            <w:tcW w:w="3136" w:type="pct"/>
            <w:shd w:val="clear" w:color="auto" w:fill="auto"/>
            <w:vAlign w:val="center"/>
          </w:tcPr>
          <w:p w:rsidR="0081235B" w:rsidRPr="00F972D7" w:rsidRDefault="0081235B" w:rsidP="0081235B">
            <w:pPr>
              <w:widowControl w:val="0"/>
              <w:spacing w:line="276" w:lineRule="auto"/>
              <w:ind w:left="112"/>
              <w:rPr>
                <w:rFonts w:eastAsia="Times New Roman"/>
                <w:b/>
                <w:szCs w:val="24"/>
                <w:lang w:val="en-US"/>
              </w:rPr>
            </w:pPr>
            <w:r w:rsidRPr="00F972D7">
              <w:rPr>
                <w:rFonts w:eastAsia="Times New Roman"/>
                <w:b/>
                <w:szCs w:val="24"/>
                <w:lang w:val="en-US"/>
              </w:rPr>
              <w:t xml:space="preserve">Total Working Capital Requirement </w:t>
            </w:r>
          </w:p>
        </w:tc>
        <w:tc>
          <w:tcPr>
            <w:tcW w:w="1406" w:type="pct"/>
            <w:shd w:val="clear" w:color="auto" w:fill="auto"/>
            <w:vAlign w:val="center"/>
          </w:tcPr>
          <w:p w:rsidR="0081235B" w:rsidRPr="0081235B" w:rsidRDefault="00A7790B" w:rsidP="0081235B">
            <w:pPr>
              <w:jc w:val="right"/>
              <w:rPr>
                <w:b/>
                <w:bCs/>
                <w:szCs w:val="24"/>
              </w:rPr>
            </w:pPr>
            <w:r>
              <w:rPr>
                <w:b/>
                <w:bCs/>
                <w:szCs w:val="24"/>
              </w:rPr>
              <w:t>162.99</w:t>
            </w:r>
          </w:p>
        </w:tc>
      </w:tr>
      <w:tr w:rsidR="0081235B" w:rsidRPr="00F972D7" w:rsidTr="000947DF">
        <w:trPr>
          <w:trHeight w:val="113"/>
        </w:trPr>
        <w:tc>
          <w:tcPr>
            <w:tcW w:w="458" w:type="pct"/>
            <w:vAlign w:val="center"/>
          </w:tcPr>
          <w:p w:rsidR="0081235B" w:rsidRDefault="0081235B" w:rsidP="0081235B">
            <w:pPr>
              <w:pStyle w:val="ListParagraph"/>
              <w:numPr>
                <w:ilvl w:val="0"/>
                <w:numId w:val="10"/>
              </w:numPr>
              <w:spacing w:line="276" w:lineRule="auto"/>
              <w:jc w:val="center"/>
              <w:rPr>
                <w:b/>
                <w:kern w:val="32"/>
                <w:sz w:val="28"/>
                <w:szCs w:val="24"/>
                <w:lang w:val="en-US"/>
              </w:rPr>
            </w:pPr>
          </w:p>
        </w:tc>
        <w:tc>
          <w:tcPr>
            <w:tcW w:w="3136" w:type="pct"/>
            <w:shd w:val="clear" w:color="auto" w:fill="auto"/>
            <w:vAlign w:val="center"/>
          </w:tcPr>
          <w:p w:rsidR="0081235B" w:rsidRPr="00F972D7" w:rsidRDefault="0081235B" w:rsidP="0081235B">
            <w:pPr>
              <w:widowControl w:val="0"/>
              <w:spacing w:line="276" w:lineRule="auto"/>
              <w:ind w:left="112"/>
              <w:rPr>
                <w:rFonts w:eastAsia="Times New Roman"/>
                <w:szCs w:val="24"/>
                <w:lang w:val="en-US"/>
              </w:rPr>
            </w:pPr>
            <w:r w:rsidRPr="00F972D7">
              <w:rPr>
                <w:rFonts w:eastAsia="Times New Roman"/>
                <w:szCs w:val="24"/>
                <w:lang w:val="en-US"/>
              </w:rPr>
              <w:t>Interest Rate %</w:t>
            </w:r>
          </w:p>
        </w:tc>
        <w:tc>
          <w:tcPr>
            <w:tcW w:w="1406" w:type="pct"/>
            <w:shd w:val="clear" w:color="auto" w:fill="auto"/>
            <w:vAlign w:val="center"/>
          </w:tcPr>
          <w:p w:rsidR="0081235B" w:rsidRPr="0081235B" w:rsidRDefault="0081235B" w:rsidP="0081235B">
            <w:pPr>
              <w:jc w:val="right"/>
              <w:rPr>
                <w:szCs w:val="24"/>
              </w:rPr>
            </w:pPr>
            <w:r w:rsidRPr="0081235B">
              <w:rPr>
                <w:szCs w:val="24"/>
              </w:rPr>
              <w:t>11.50%</w:t>
            </w:r>
          </w:p>
        </w:tc>
      </w:tr>
      <w:tr w:rsidR="0081235B" w:rsidRPr="00F972D7" w:rsidTr="000947DF">
        <w:trPr>
          <w:trHeight w:val="113"/>
        </w:trPr>
        <w:tc>
          <w:tcPr>
            <w:tcW w:w="458" w:type="pct"/>
            <w:vAlign w:val="center"/>
          </w:tcPr>
          <w:p w:rsidR="0081235B" w:rsidRDefault="0081235B" w:rsidP="0081235B">
            <w:pPr>
              <w:pStyle w:val="ListParagraph"/>
              <w:numPr>
                <w:ilvl w:val="0"/>
                <w:numId w:val="10"/>
              </w:numPr>
              <w:spacing w:line="276" w:lineRule="auto"/>
              <w:jc w:val="center"/>
              <w:rPr>
                <w:b/>
                <w:kern w:val="32"/>
                <w:sz w:val="28"/>
                <w:szCs w:val="24"/>
                <w:lang w:val="en-US"/>
              </w:rPr>
            </w:pPr>
          </w:p>
        </w:tc>
        <w:tc>
          <w:tcPr>
            <w:tcW w:w="3136" w:type="pct"/>
            <w:shd w:val="clear" w:color="auto" w:fill="auto"/>
            <w:vAlign w:val="center"/>
          </w:tcPr>
          <w:p w:rsidR="0081235B" w:rsidRPr="00F972D7" w:rsidRDefault="0081235B" w:rsidP="0081235B">
            <w:pPr>
              <w:widowControl w:val="0"/>
              <w:spacing w:line="276" w:lineRule="auto"/>
              <w:ind w:left="112"/>
              <w:rPr>
                <w:rFonts w:eastAsia="Times New Roman"/>
                <w:b/>
                <w:szCs w:val="24"/>
                <w:lang w:val="en-US"/>
              </w:rPr>
            </w:pPr>
            <w:r w:rsidRPr="00F972D7">
              <w:rPr>
                <w:rFonts w:eastAsia="Times New Roman"/>
                <w:b/>
                <w:szCs w:val="24"/>
                <w:lang w:val="en-US"/>
              </w:rPr>
              <w:t>Interest on Working Capital</w:t>
            </w:r>
          </w:p>
        </w:tc>
        <w:tc>
          <w:tcPr>
            <w:tcW w:w="1406" w:type="pct"/>
            <w:shd w:val="clear" w:color="auto" w:fill="auto"/>
            <w:vAlign w:val="center"/>
          </w:tcPr>
          <w:p w:rsidR="0081235B" w:rsidRPr="0081235B" w:rsidRDefault="0081235B" w:rsidP="0081235B">
            <w:pPr>
              <w:jc w:val="right"/>
              <w:rPr>
                <w:b/>
                <w:bCs/>
                <w:szCs w:val="24"/>
              </w:rPr>
            </w:pPr>
            <w:r w:rsidRPr="0081235B">
              <w:rPr>
                <w:b/>
                <w:bCs/>
                <w:szCs w:val="24"/>
              </w:rPr>
              <w:t>18.</w:t>
            </w:r>
            <w:r w:rsidR="00A7790B">
              <w:rPr>
                <w:b/>
                <w:bCs/>
                <w:szCs w:val="24"/>
              </w:rPr>
              <w:t>74</w:t>
            </w:r>
          </w:p>
        </w:tc>
      </w:tr>
    </w:tbl>
    <w:p w:rsidR="00FF6B72" w:rsidRDefault="00FF6B72" w:rsidP="00FF6B72">
      <w:pPr>
        <w:pStyle w:val="Heading3"/>
        <w:keepNext w:val="0"/>
        <w:widowControl w:val="0"/>
        <w:numPr>
          <w:ilvl w:val="0"/>
          <w:numId w:val="0"/>
        </w:numPr>
        <w:spacing w:before="0" w:after="0"/>
        <w:ind w:left="720" w:hanging="720"/>
        <w:rPr>
          <w:rFonts w:ascii="Times New Roman" w:hAnsi="Times New Roman"/>
          <w:b/>
          <w:i/>
          <w:szCs w:val="24"/>
        </w:rPr>
      </w:pPr>
    </w:p>
    <w:p w:rsidR="00FF6B72" w:rsidRPr="00F972D7" w:rsidRDefault="00FF6B72" w:rsidP="00FF6B72">
      <w:pPr>
        <w:pStyle w:val="Heading2"/>
      </w:pPr>
      <w:bookmarkStart w:id="376" w:name="_Toc436552930"/>
      <w:r w:rsidRPr="00F972D7">
        <w:t xml:space="preserve">OPGC humbly request the Hon’ble OERC to approve the Interest on Working Capital of Rs. </w:t>
      </w:r>
      <w:r w:rsidR="00A7790B">
        <w:t>18.74</w:t>
      </w:r>
      <w:r w:rsidR="008710D4">
        <w:t xml:space="preserve"> </w:t>
      </w:r>
      <w:r w:rsidRPr="00F972D7">
        <w:t>Crore for FY 201</w:t>
      </w:r>
      <w:r w:rsidR="00100616">
        <w:t>9</w:t>
      </w:r>
      <w:r w:rsidRPr="00F972D7">
        <w:t>-</w:t>
      </w:r>
      <w:r w:rsidR="00100616">
        <w:t>20</w:t>
      </w:r>
      <w:r w:rsidRPr="00F972D7">
        <w:t>.</w:t>
      </w:r>
      <w:bookmarkEnd w:id="376"/>
      <w:r w:rsidR="00642DE5">
        <w:t xml:space="preserve"> The interest on working capital corresponding to additional capitalisation has been discussed in Section 4 of the Petition</w:t>
      </w:r>
    </w:p>
    <w:p w:rsidR="00FF6B72" w:rsidRPr="00F972D7" w:rsidRDefault="00FF6B72" w:rsidP="00FF6B72">
      <w:pPr>
        <w:widowControl w:val="0"/>
        <w:ind w:left="720"/>
        <w:rPr>
          <w:szCs w:val="24"/>
        </w:rPr>
      </w:pPr>
    </w:p>
    <w:p w:rsidR="00FF6B72" w:rsidRPr="00F972D7" w:rsidRDefault="00FF6B72" w:rsidP="00FF6B72">
      <w:pPr>
        <w:pStyle w:val="Heading3"/>
        <w:keepNext w:val="0"/>
        <w:widowControl w:val="0"/>
        <w:numPr>
          <w:ilvl w:val="0"/>
          <w:numId w:val="0"/>
        </w:numPr>
        <w:spacing w:before="0" w:after="0"/>
        <w:ind w:left="720" w:hanging="720"/>
        <w:rPr>
          <w:rFonts w:ascii="Times New Roman" w:hAnsi="Times New Roman"/>
          <w:b/>
          <w:i/>
          <w:szCs w:val="24"/>
        </w:rPr>
      </w:pPr>
      <w:bookmarkStart w:id="377" w:name="_Toc436552933"/>
      <w:r w:rsidRPr="00F972D7">
        <w:rPr>
          <w:rFonts w:ascii="Times New Roman" w:hAnsi="Times New Roman"/>
          <w:b/>
          <w:i/>
          <w:szCs w:val="24"/>
        </w:rPr>
        <w:t>Summary of Annual Fixed Cost</w:t>
      </w:r>
      <w:bookmarkEnd w:id="377"/>
    </w:p>
    <w:p w:rsidR="00FF6B72" w:rsidRDefault="00FF6B72" w:rsidP="00FF6B72">
      <w:pPr>
        <w:pStyle w:val="Heading2"/>
      </w:pPr>
      <w:bookmarkStart w:id="378" w:name="_Toc436552934"/>
      <w:r w:rsidRPr="00F972D7">
        <w:t>The Annual Fixed Cost proposed by OPGC for FY 201</w:t>
      </w:r>
      <w:r w:rsidR="00AC5E9A">
        <w:t>9</w:t>
      </w:r>
      <w:r w:rsidRPr="00F972D7">
        <w:t>-</w:t>
      </w:r>
      <w:r w:rsidR="00AC5E9A">
        <w:t>20</w:t>
      </w:r>
      <w:r w:rsidR="008710D4">
        <w:t xml:space="preserve"> </w:t>
      </w:r>
      <w:r w:rsidR="00AC5E9A">
        <w:t xml:space="preserve">corresponding to the original project cost </w:t>
      </w:r>
      <w:r w:rsidRPr="00F972D7">
        <w:t>is summarised as under:</w:t>
      </w:r>
      <w:bookmarkEnd w:id="378"/>
    </w:p>
    <w:p w:rsidR="008710D4" w:rsidRPr="00AF7365" w:rsidRDefault="008710D4" w:rsidP="00FF6B72">
      <w:pPr>
        <w:rPr>
          <w:lang w:val="en-GB"/>
        </w:rPr>
      </w:pPr>
    </w:p>
    <w:p w:rsidR="00FF6B72" w:rsidRPr="00F972D7" w:rsidRDefault="00FF6B72" w:rsidP="00FF6B72">
      <w:pPr>
        <w:widowControl w:val="0"/>
        <w:jc w:val="center"/>
        <w:rPr>
          <w:lang w:val="en-GB"/>
        </w:rPr>
      </w:pPr>
      <w:bookmarkStart w:id="379" w:name="_Toc514428010"/>
      <w:bookmarkStart w:id="380" w:name="_Toc530497539"/>
      <w:r w:rsidRPr="00F972D7">
        <w:rPr>
          <w:b/>
          <w:szCs w:val="24"/>
        </w:rPr>
        <w:t xml:space="preserve">Table </w:t>
      </w:r>
      <w:r w:rsidR="00687F74">
        <w:rPr>
          <w:b/>
          <w:szCs w:val="24"/>
        </w:rPr>
        <w:fldChar w:fldCharType="begin"/>
      </w:r>
      <w:r>
        <w:rPr>
          <w:b/>
          <w:szCs w:val="24"/>
        </w:rPr>
        <w:instrText xml:space="preserve"> STYLEREF 1 \s </w:instrText>
      </w:r>
      <w:r w:rsidR="00687F74">
        <w:rPr>
          <w:b/>
          <w:szCs w:val="24"/>
        </w:rPr>
        <w:fldChar w:fldCharType="separate"/>
      </w:r>
      <w:r w:rsidR="008A42C7">
        <w:rPr>
          <w:b/>
          <w:noProof/>
          <w:szCs w:val="24"/>
        </w:rPr>
        <w:t>3</w:t>
      </w:r>
      <w:r w:rsidR="00687F74">
        <w:rPr>
          <w:b/>
          <w:szCs w:val="24"/>
        </w:rPr>
        <w:fldChar w:fldCharType="end"/>
      </w:r>
      <w:r>
        <w:rPr>
          <w:b/>
          <w:szCs w:val="24"/>
        </w:rPr>
        <w:t>.</w:t>
      </w:r>
      <w:r w:rsidR="00687F74">
        <w:rPr>
          <w:b/>
          <w:szCs w:val="24"/>
        </w:rPr>
        <w:fldChar w:fldCharType="begin"/>
      </w:r>
      <w:r>
        <w:rPr>
          <w:b/>
          <w:szCs w:val="24"/>
        </w:rPr>
        <w:instrText xml:space="preserve"> SEQ Table \* ARABIC \s 1 </w:instrText>
      </w:r>
      <w:r w:rsidR="00687F74">
        <w:rPr>
          <w:b/>
          <w:szCs w:val="24"/>
        </w:rPr>
        <w:fldChar w:fldCharType="separate"/>
      </w:r>
      <w:r w:rsidR="008A42C7">
        <w:rPr>
          <w:b/>
          <w:noProof/>
          <w:szCs w:val="24"/>
        </w:rPr>
        <w:t>4</w:t>
      </w:r>
      <w:r w:rsidR="00687F74">
        <w:rPr>
          <w:b/>
          <w:szCs w:val="24"/>
        </w:rPr>
        <w:fldChar w:fldCharType="end"/>
      </w:r>
      <w:r w:rsidRPr="00F972D7">
        <w:rPr>
          <w:b/>
          <w:szCs w:val="24"/>
        </w:rPr>
        <w:t xml:space="preserve">: </w:t>
      </w:r>
      <w:r w:rsidRPr="00F972D7">
        <w:rPr>
          <w:rFonts w:eastAsia="Times New Roman"/>
          <w:b/>
          <w:bCs/>
          <w:szCs w:val="24"/>
          <w:lang w:val="en-US"/>
        </w:rPr>
        <w:t xml:space="preserve">Annual Fixed Cost </w:t>
      </w:r>
      <w:r w:rsidR="00642DE5">
        <w:rPr>
          <w:rFonts w:eastAsia="Times New Roman"/>
          <w:b/>
          <w:bCs/>
          <w:szCs w:val="24"/>
          <w:lang w:val="en-US"/>
        </w:rPr>
        <w:t>corresponding to original project cost</w:t>
      </w:r>
      <w:r w:rsidRPr="00F972D7">
        <w:rPr>
          <w:rFonts w:eastAsia="Times New Roman"/>
          <w:b/>
          <w:bCs/>
          <w:szCs w:val="24"/>
          <w:lang w:val="en-US"/>
        </w:rPr>
        <w:t>(Rs. Crore)</w:t>
      </w:r>
      <w:bookmarkEnd w:id="379"/>
      <w:bookmarkEnd w:id="380"/>
    </w:p>
    <w:tbl>
      <w:tblPr>
        <w:tblW w:w="3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tblPr>
      <w:tblGrid>
        <w:gridCol w:w="3357"/>
        <w:gridCol w:w="2525"/>
      </w:tblGrid>
      <w:tr w:rsidR="005E0DE7" w:rsidRPr="00F972D7" w:rsidTr="005E0DE7">
        <w:trPr>
          <w:trHeight w:val="113"/>
          <w:tblHeader/>
          <w:jc w:val="center"/>
        </w:trPr>
        <w:tc>
          <w:tcPr>
            <w:tcW w:w="2854" w:type="pct"/>
            <w:shd w:val="clear" w:color="auto" w:fill="FABF8F" w:themeFill="accent6" w:themeFillTint="99"/>
            <w:vAlign w:val="center"/>
            <w:hideMark/>
          </w:tcPr>
          <w:p w:rsidR="005E0DE7" w:rsidRPr="00F972D7" w:rsidRDefault="005E0DE7" w:rsidP="008F275E">
            <w:pPr>
              <w:widowControl w:val="0"/>
              <w:spacing w:line="276" w:lineRule="auto"/>
              <w:ind w:left="112"/>
              <w:rPr>
                <w:rFonts w:eastAsia="Times New Roman"/>
                <w:b/>
                <w:szCs w:val="24"/>
                <w:lang w:val="en-US"/>
              </w:rPr>
            </w:pPr>
            <w:r w:rsidRPr="00F972D7">
              <w:rPr>
                <w:rFonts w:eastAsia="Times New Roman"/>
                <w:b/>
                <w:szCs w:val="24"/>
                <w:lang w:val="en-US"/>
              </w:rPr>
              <w:t>Particulars</w:t>
            </w:r>
          </w:p>
        </w:tc>
        <w:tc>
          <w:tcPr>
            <w:tcW w:w="2146" w:type="pct"/>
            <w:shd w:val="clear" w:color="auto" w:fill="FABF8F" w:themeFill="accent6" w:themeFillTint="99"/>
            <w:vAlign w:val="center"/>
            <w:hideMark/>
          </w:tcPr>
          <w:p w:rsidR="005E0DE7" w:rsidRPr="00F972D7" w:rsidRDefault="005E0DE7" w:rsidP="008F275E">
            <w:pPr>
              <w:widowControl w:val="0"/>
              <w:spacing w:line="276" w:lineRule="auto"/>
              <w:jc w:val="center"/>
              <w:rPr>
                <w:b/>
                <w:szCs w:val="24"/>
              </w:rPr>
            </w:pPr>
            <w:r>
              <w:rPr>
                <w:b/>
                <w:szCs w:val="24"/>
              </w:rPr>
              <w:t>FY 2019-20</w:t>
            </w:r>
          </w:p>
        </w:tc>
      </w:tr>
      <w:tr w:rsidR="005E0DE7" w:rsidRPr="00F972D7" w:rsidTr="005E0DE7">
        <w:trPr>
          <w:trHeight w:val="113"/>
          <w:jc w:val="center"/>
        </w:trPr>
        <w:tc>
          <w:tcPr>
            <w:tcW w:w="2854" w:type="pct"/>
            <w:shd w:val="clear" w:color="auto" w:fill="auto"/>
            <w:vAlign w:val="center"/>
            <w:hideMark/>
          </w:tcPr>
          <w:p w:rsidR="005E0DE7" w:rsidRPr="00F972D7" w:rsidRDefault="005E0DE7" w:rsidP="008F275E">
            <w:pPr>
              <w:widowControl w:val="0"/>
              <w:spacing w:line="276" w:lineRule="auto"/>
              <w:ind w:left="112"/>
              <w:rPr>
                <w:rFonts w:eastAsia="Times New Roman"/>
                <w:szCs w:val="24"/>
                <w:lang w:val="en-US"/>
              </w:rPr>
            </w:pPr>
            <w:r w:rsidRPr="00F972D7">
              <w:rPr>
                <w:rFonts w:eastAsia="Times New Roman"/>
                <w:szCs w:val="24"/>
                <w:lang w:val="en-US"/>
              </w:rPr>
              <w:t>Depreciation</w:t>
            </w:r>
          </w:p>
        </w:tc>
        <w:tc>
          <w:tcPr>
            <w:tcW w:w="2146" w:type="pct"/>
            <w:shd w:val="clear" w:color="auto" w:fill="auto"/>
            <w:vAlign w:val="center"/>
          </w:tcPr>
          <w:p w:rsidR="005E0DE7" w:rsidRPr="00F972D7" w:rsidRDefault="005E0DE7" w:rsidP="008F275E">
            <w:pPr>
              <w:widowControl w:val="0"/>
              <w:spacing w:line="276" w:lineRule="auto"/>
              <w:ind w:right="968"/>
              <w:jc w:val="right"/>
              <w:rPr>
                <w:szCs w:val="24"/>
              </w:rPr>
            </w:pPr>
            <w:r>
              <w:rPr>
                <w:szCs w:val="24"/>
              </w:rPr>
              <w:t>0.00</w:t>
            </w:r>
          </w:p>
        </w:tc>
      </w:tr>
      <w:tr w:rsidR="005E0DE7" w:rsidRPr="00F972D7" w:rsidTr="005E0DE7">
        <w:trPr>
          <w:trHeight w:val="113"/>
          <w:jc w:val="center"/>
        </w:trPr>
        <w:tc>
          <w:tcPr>
            <w:tcW w:w="2854" w:type="pct"/>
            <w:shd w:val="clear" w:color="auto" w:fill="auto"/>
            <w:vAlign w:val="center"/>
          </w:tcPr>
          <w:p w:rsidR="005E0DE7" w:rsidRPr="00F972D7" w:rsidRDefault="005E0DE7" w:rsidP="00F73446">
            <w:pPr>
              <w:widowControl w:val="0"/>
              <w:spacing w:line="276" w:lineRule="auto"/>
              <w:ind w:left="112"/>
              <w:rPr>
                <w:rFonts w:eastAsia="Times New Roman"/>
                <w:szCs w:val="24"/>
                <w:lang w:val="en-US"/>
              </w:rPr>
            </w:pPr>
            <w:r w:rsidRPr="00F972D7">
              <w:rPr>
                <w:rFonts w:eastAsia="Times New Roman"/>
                <w:szCs w:val="24"/>
                <w:lang w:val="en-US"/>
              </w:rPr>
              <w:t>Return on Equity</w:t>
            </w:r>
          </w:p>
        </w:tc>
        <w:tc>
          <w:tcPr>
            <w:tcW w:w="2146" w:type="pct"/>
            <w:shd w:val="clear" w:color="auto" w:fill="auto"/>
            <w:vAlign w:val="center"/>
          </w:tcPr>
          <w:p w:rsidR="005E0DE7" w:rsidRPr="00F972D7" w:rsidRDefault="005E0DE7" w:rsidP="00F73446">
            <w:pPr>
              <w:widowControl w:val="0"/>
              <w:spacing w:line="276" w:lineRule="auto"/>
              <w:ind w:right="968"/>
              <w:jc w:val="right"/>
              <w:rPr>
                <w:szCs w:val="24"/>
              </w:rPr>
            </w:pPr>
            <w:r>
              <w:rPr>
                <w:szCs w:val="24"/>
              </w:rPr>
              <w:t>72.00</w:t>
            </w:r>
          </w:p>
        </w:tc>
      </w:tr>
      <w:tr w:rsidR="005E0DE7" w:rsidRPr="00F972D7" w:rsidTr="005E0DE7">
        <w:trPr>
          <w:trHeight w:val="113"/>
          <w:jc w:val="center"/>
        </w:trPr>
        <w:tc>
          <w:tcPr>
            <w:tcW w:w="2854" w:type="pct"/>
            <w:shd w:val="clear" w:color="auto" w:fill="auto"/>
            <w:vAlign w:val="center"/>
          </w:tcPr>
          <w:p w:rsidR="005E0DE7" w:rsidRPr="00F972D7" w:rsidRDefault="005E0DE7" w:rsidP="00F73446">
            <w:pPr>
              <w:widowControl w:val="0"/>
              <w:spacing w:line="276" w:lineRule="auto"/>
              <w:ind w:left="112"/>
              <w:rPr>
                <w:rFonts w:eastAsia="Times New Roman"/>
                <w:szCs w:val="24"/>
                <w:lang w:val="en-US"/>
              </w:rPr>
            </w:pPr>
            <w:r w:rsidRPr="00F972D7">
              <w:rPr>
                <w:rFonts w:eastAsia="Times New Roman"/>
                <w:szCs w:val="24"/>
                <w:lang w:val="en-US"/>
              </w:rPr>
              <w:t>Interest on Loan Capital</w:t>
            </w:r>
          </w:p>
        </w:tc>
        <w:tc>
          <w:tcPr>
            <w:tcW w:w="2146" w:type="pct"/>
            <w:shd w:val="clear" w:color="auto" w:fill="auto"/>
            <w:vAlign w:val="center"/>
          </w:tcPr>
          <w:p w:rsidR="005E0DE7" w:rsidRPr="00F972D7" w:rsidRDefault="005E0DE7" w:rsidP="00F73446">
            <w:pPr>
              <w:widowControl w:val="0"/>
              <w:spacing w:line="276" w:lineRule="auto"/>
              <w:ind w:right="968"/>
              <w:jc w:val="right"/>
              <w:rPr>
                <w:szCs w:val="24"/>
              </w:rPr>
            </w:pPr>
            <w:r>
              <w:rPr>
                <w:szCs w:val="24"/>
              </w:rPr>
              <w:t>0.00</w:t>
            </w:r>
          </w:p>
        </w:tc>
      </w:tr>
      <w:tr w:rsidR="005E0DE7" w:rsidRPr="00F972D7" w:rsidTr="005E0DE7">
        <w:trPr>
          <w:trHeight w:val="113"/>
          <w:jc w:val="center"/>
        </w:trPr>
        <w:tc>
          <w:tcPr>
            <w:tcW w:w="2854" w:type="pct"/>
            <w:shd w:val="clear" w:color="auto" w:fill="auto"/>
            <w:vAlign w:val="center"/>
          </w:tcPr>
          <w:p w:rsidR="005E0DE7" w:rsidRPr="00F972D7" w:rsidRDefault="005E0DE7" w:rsidP="005E0DE7">
            <w:pPr>
              <w:widowControl w:val="0"/>
              <w:spacing w:line="276" w:lineRule="auto"/>
              <w:ind w:left="112"/>
              <w:rPr>
                <w:rFonts w:eastAsia="Times New Roman"/>
                <w:szCs w:val="24"/>
                <w:lang w:val="en-US"/>
              </w:rPr>
            </w:pPr>
            <w:r w:rsidRPr="00F972D7">
              <w:rPr>
                <w:rFonts w:eastAsia="Times New Roman"/>
                <w:szCs w:val="24"/>
                <w:lang w:val="en-US"/>
              </w:rPr>
              <w:t xml:space="preserve">O&amp;M Expenses </w:t>
            </w:r>
          </w:p>
        </w:tc>
        <w:tc>
          <w:tcPr>
            <w:tcW w:w="2146" w:type="pct"/>
            <w:shd w:val="clear" w:color="auto" w:fill="auto"/>
            <w:vAlign w:val="center"/>
          </w:tcPr>
          <w:p w:rsidR="005E0DE7" w:rsidRPr="00F972D7" w:rsidRDefault="005E0DE7" w:rsidP="005E0DE7">
            <w:pPr>
              <w:widowControl w:val="0"/>
              <w:spacing w:line="276" w:lineRule="auto"/>
              <w:ind w:right="968"/>
              <w:jc w:val="right"/>
              <w:rPr>
                <w:szCs w:val="24"/>
              </w:rPr>
            </w:pPr>
            <w:r>
              <w:rPr>
                <w:szCs w:val="24"/>
              </w:rPr>
              <w:t>151.19</w:t>
            </w:r>
          </w:p>
        </w:tc>
      </w:tr>
      <w:tr w:rsidR="005E0DE7" w:rsidRPr="00F972D7" w:rsidTr="005E0DE7">
        <w:trPr>
          <w:trHeight w:val="113"/>
          <w:jc w:val="center"/>
        </w:trPr>
        <w:tc>
          <w:tcPr>
            <w:tcW w:w="2854" w:type="pct"/>
            <w:shd w:val="clear" w:color="auto" w:fill="auto"/>
            <w:vAlign w:val="center"/>
          </w:tcPr>
          <w:p w:rsidR="005E0DE7" w:rsidRPr="00F972D7" w:rsidRDefault="005E0DE7" w:rsidP="00F73446">
            <w:pPr>
              <w:widowControl w:val="0"/>
              <w:spacing w:line="276" w:lineRule="auto"/>
              <w:ind w:left="112"/>
              <w:rPr>
                <w:rFonts w:eastAsia="Times New Roman"/>
                <w:szCs w:val="24"/>
                <w:lang w:val="en-US"/>
              </w:rPr>
            </w:pPr>
            <w:r w:rsidRPr="00F972D7">
              <w:rPr>
                <w:rFonts w:eastAsia="Times New Roman"/>
                <w:szCs w:val="24"/>
                <w:lang w:val="en-US"/>
              </w:rPr>
              <w:t>Interest on Working Capital</w:t>
            </w:r>
          </w:p>
        </w:tc>
        <w:tc>
          <w:tcPr>
            <w:tcW w:w="2146" w:type="pct"/>
            <w:shd w:val="clear" w:color="auto" w:fill="auto"/>
            <w:vAlign w:val="center"/>
          </w:tcPr>
          <w:p w:rsidR="005E0DE7" w:rsidRPr="00F972D7" w:rsidRDefault="0081235B" w:rsidP="00F73446">
            <w:pPr>
              <w:widowControl w:val="0"/>
              <w:spacing w:line="276" w:lineRule="auto"/>
              <w:ind w:right="968"/>
              <w:jc w:val="right"/>
              <w:rPr>
                <w:szCs w:val="24"/>
              </w:rPr>
            </w:pPr>
            <w:r>
              <w:rPr>
                <w:szCs w:val="24"/>
              </w:rPr>
              <w:t>18.</w:t>
            </w:r>
            <w:r w:rsidR="00A7790B">
              <w:rPr>
                <w:szCs w:val="24"/>
              </w:rPr>
              <w:t>74</w:t>
            </w:r>
          </w:p>
        </w:tc>
      </w:tr>
      <w:tr w:rsidR="005E0DE7" w:rsidRPr="00F972D7" w:rsidTr="005E0DE7">
        <w:trPr>
          <w:trHeight w:val="113"/>
          <w:jc w:val="center"/>
        </w:trPr>
        <w:tc>
          <w:tcPr>
            <w:tcW w:w="2854" w:type="pct"/>
            <w:shd w:val="clear" w:color="auto" w:fill="auto"/>
            <w:vAlign w:val="center"/>
          </w:tcPr>
          <w:p w:rsidR="005E0DE7" w:rsidRPr="00F972D7" w:rsidRDefault="005E0DE7" w:rsidP="00F73446">
            <w:pPr>
              <w:widowControl w:val="0"/>
              <w:spacing w:line="276" w:lineRule="auto"/>
              <w:ind w:left="112"/>
              <w:rPr>
                <w:rFonts w:eastAsia="Times New Roman"/>
                <w:b/>
                <w:szCs w:val="24"/>
                <w:lang w:val="en-US"/>
              </w:rPr>
            </w:pPr>
            <w:r w:rsidRPr="00F972D7">
              <w:rPr>
                <w:rFonts w:eastAsia="Times New Roman"/>
                <w:b/>
                <w:szCs w:val="24"/>
                <w:lang w:val="en-US"/>
              </w:rPr>
              <w:t>Total Annual Fixed Cost</w:t>
            </w:r>
          </w:p>
        </w:tc>
        <w:tc>
          <w:tcPr>
            <w:tcW w:w="2146" w:type="pct"/>
            <w:shd w:val="clear" w:color="auto" w:fill="auto"/>
            <w:vAlign w:val="center"/>
          </w:tcPr>
          <w:p w:rsidR="005E0DE7" w:rsidRPr="00980417" w:rsidRDefault="00A7790B" w:rsidP="00F73446">
            <w:pPr>
              <w:widowControl w:val="0"/>
              <w:spacing w:line="276" w:lineRule="auto"/>
              <w:ind w:right="968"/>
              <w:jc w:val="right"/>
              <w:rPr>
                <w:b/>
                <w:szCs w:val="24"/>
              </w:rPr>
            </w:pPr>
            <w:r>
              <w:rPr>
                <w:b/>
                <w:szCs w:val="24"/>
              </w:rPr>
              <w:t>241.93</w:t>
            </w:r>
          </w:p>
        </w:tc>
      </w:tr>
    </w:tbl>
    <w:p w:rsidR="00FF6B72" w:rsidRPr="00F972D7" w:rsidRDefault="00FF6B72" w:rsidP="00FF6B72">
      <w:pPr>
        <w:pStyle w:val="Heading3"/>
        <w:keepNext w:val="0"/>
        <w:widowControl w:val="0"/>
        <w:numPr>
          <w:ilvl w:val="0"/>
          <w:numId w:val="0"/>
        </w:numPr>
        <w:spacing w:before="0" w:after="0"/>
        <w:ind w:left="720" w:hanging="720"/>
        <w:rPr>
          <w:rFonts w:ascii="Times New Roman" w:hAnsi="Times New Roman"/>
          <w:b/>
          <w:i/>
          <w:szCs w:val="24"/>
        </w:rPr>
      </w:pPr>
    </w:p>
    <w:p w:rsidR="00FF6B72" w:rsidRDefault="00FF6B72" w:rsidP="00FF6B72">
      <w:pPr>
        <w:pStyle w:val="Heading2"/>
      </w:pPr>
      <w:bookmarkStart w:id="381" w:name="_Toc436552935"/>
      <w:r w:rsidRPr="00F972D7">
        <w:t xml:space="preserve">OPGC humbly request the Hon’ble OERC to approve Annual Fixed Cost of Rs. </w:t>
      </w:r>
      <w:r w:rsidR="00A7790B">
        <w:t xml:space="preserve">241.93 </w:t>
      </w:r>
      <w:r w:rsidRPr="00F972D7">
        <w:t xml:space="preserve">Crore </w:t>
      </w:r>
      <w:r w:rsidR="003453A2">
        <w:t xml:space="preserve">corresponding to original project cost, </w:t>
      </w:r>
      <w:r w:rsidRPr="00F972D7">
        <w:t>for FY 201</w:t>
      </w:r>
      <w:r w:rsidR="00EE1976">
        <w:t>9</w:t>
      </w:r>
      <w:r w:rsidRPr="00F972D7">
        <w:t>-</w:t>
      </w:r>
      <w:r w:rsidR="00EE1976">
        <w:t>20</w:t>
      </w:r>
      <w:r w:rsidRPr="00F972D7">
        <w:t>.</w:t>
      </w:r>
      <w:bookmarkEnd w:id="381"/>
    </w:p>
    <w:p w:rsidR="00B14B6D" w:rsidRPr="00BF7284" w:rsidRDefault="00B14B6D" w:rsidP="00FF6B72">
      <w:pPr>
        <w:rPr>
          <w:lang w:val="en-GB"/>
        </w:rPr>
      </w:pPr>
      <w:bookmarkStart w:id="382" w:name="_Toc436552936"/>
    </w:p>
    <w:p w:rsidR="00FF6B72" w:rsidRPr="00F972D7" w:rsidRDefault="00FF6B72" w:rsidP="00FF6B72">
      <w:pPr>
        <w:pStyle w:val="Heading3"/>
        <w:keepNext w:val="0"/>
        <w:widowControl w:val="0"/>
        <w:numPr>
          <w:ilvl w:val="0"/>
          <w:numId w:val="0"/>
        </w:numPr>
        <w:spacing w:before="0" w:after="0"/>
        <w:ind w:left="720" w:hanging="720"/>
        <w:rPr>
          <w:rFonts w:ascii="Times New Roman" w:hAnsi="Times New Roman"/>
          <w:b/>
          <w:bCs w:val="0"/>
          <w:i/>
          <w:szCs w:val="24"/>
        </w:rPr>
      </w:pPr>
      <w:r w:rsidRPr="00F972D7">
        <w:rPr>
          <w:rFonts w:ascii="Times New Roman" w:hAnsi="Times New Roman"/>
          <w:b/>
          <w:i/>
          <w:szCs w:val="24"/>
        </w:rPr>
        <w:t>Operational Performance Parameters</w:t>
      </w:r>
      <w:bookmarkEnd w:id="382"/>
    </w:p>
    <w:p w:rsidR="00FF6B72" w:rsidRPr="00F972D7" w:rsidRDefault="00FF6B72" w:rsidP="00FF6B72">
      <w:pPr>
        <w:pStyle w:val="Heading2"/>
      </w:pPr>
      <w:bookmarkStart w:id="383" w:name="_Toc436552937"/>
      <w:r w:rsidRPr="00F972D7">
        <w:t>OPGC has considered the following Operational Performance parameters as under:</w:t>
      </w:r>
      <w:bookmarkEnd w:id="383"/>
    </w:p>
    <w:p w:rsidR="003B7AD4" w:rsidRDefault="003B335D" w:rsidP="00FF6B72">
      <w:pPr>
        <w:pStyle w:val="ListParagraph"/>
        <w:numPr>
          <w:ilvl w:val="1"/>
          <w:numId w:val="12"/>
        </w:numPr>
        <w:rPr>
          <w:szCs w:val="24"/>
        </w:rPr>
      </w:pPr>
      <w:r>
        <w:rPr>
          <w:szCs w:val="24"/>
        </w:rPr>
        <w:t xml:space="preserve">Normative </w:t>
      </w:r>
      <w:r w:rsidR="00021087">
        <w:rPr>
          <w:szCs w:val="24"/>
        </w:rPr>
        <w:t>Availability</w:t>
      </w:r>
    </w:p>
    <w:p w:rsidR="00FF6B72" w:rsidRDefault="00FF6B72" w:rsidP="00FF6B72">
      <w:pPr>
        <w:pStyle w:val="ListParagraph"/>
        <w:numPr>
          <w:ilvl w:val="1"/>
          <w:numId w:val="12"/>
        </w:numPr>
        <w:rPr>
          <w:szCs w:val="24"/>
        </w:rPr>
      </w:pPr>
      <w:r w:rsidRPr="00F972D7">
        <w:rPr>
          <w:szCs w:val="24"/>
        </w:rPr>
        <w:t>Plant Load Factor (PLF)</w:t>
      </w:r>
    </w:p>
    <w:p w:rsidR="00FF6B72" w:rsidRDefault="00FF6B72" w:rsidP="00FF6B72">
      <w:pPr>
        <w:pStyle w:val="ListParagraph"/>
        <w:numPr>
          <w:ilvl w:val="1"/>
          <w:numId w:val="12"/>
        </w:numPr>
        <w:rPr>
          <w:szCs w:val="24"/>
        </w:rPr>
      </w:pPr>
      <w:r w:rsidRPr="00F972D7">
        <w:rPr>
          <w:szCs w:val="24"/>
        </w:rPr>
        <w:t>Gross Station Heat Rate</w:t>
      </w:r>
    </w:p>
    <w:p w:rsidR="00FF6B72" w:rsidRDefault="005562E6" w:rsidP="00FF6B72">
      <w:pPr>
        <w:pStyle w:val="ListParagraph"/>
        <w:numPr>
          <w:ilvl w:val="1"/>
          <w:numId w:val="12"/>
        </w:numPr>
        <w:rPr>
          <w:szCs w:val="24"/>
        </w:rPr>
      </w:pPr>
      <w:r>
        <w:rPr>
          <w:szCs w:val="24"/>
        </w:rPr>
        <w:t>Specific</w:t>
      </w:r>
      <w:r w:rsidR="00FF6B72" w:rsidRPr="00F972D7">
        <w:rPr>
          <w:szCs w:val="24"/>
        </w:rPr>
        <w:t xml:space="preserve"> Oil Consumption</w:t>
      </w:r>
    </w:p>
    <w:p w:rsidR="00FF6B72" w:rsidRDefault="00FF6B72" w:rsidP="00FF6B72">
      <w:pPr>
        <w:pStyle w:val="ListParagraph"/>
        <w:numPr>
          <w:ilvl w:val="1"/>
          <w:numId w:val="12"/>
        </w:numPr>
        <w:ind w:hanging="578"/>
        <w:rPr>
          <w:szCs w:val="24"/>
        </w:rPr>
      </w:pPr>
      <w:r w:rsidRPr="00F972D7">
        <w:rPr>
          <w:szCs w:val="24"/>
        </w:rPr>
        <w:t>Auxiliary Energy Consumption</w:t>
      </w:r>
    </w:p>
    <w:p w:rsidR="00FF6B72" w:rsidRPr="00F972D7" w:rsidRDefault="00FF6B72" w:rsidP="00FF6B72">
      <w:pPr>
        <w:pStyle w:val="Heading2"/>
        <w:numPr>
          <w:ilvl w:val="0"/>
          <w:numId w:val="0"/>
        </w:numPr>
        <w:ind w:left="578"/>
      </w:pPr>
      <w:bookmarkStart w:id="384" w:name="_Toc436552938"/>
    </w:p>
    <w:p w:rsidR="00FF6B72" w:rsidRPr="00F972D7" w:rsidRDefault="00FF6B72" w:rsidP="00FF6B72">
      <w:pPr>
        <w:pStyle w:val="Heading2"/>
      </w:pPr>
      <w:r w:rsidRPr="00F972D7">
        <w:t xml:space="preserve">OPGC in Amended PPA signed with GRIDCO has agreed upon operational performance parameters. OPGC for computation of </w:t>
      </w:r>
      <w:r w:rsidR="00EA5795">
        <w:t>variable</w:t>
      </w:r>
      <w:r w:rsidRPr="00F972D7">
        <w:t xml:space="preserve"> charge</w:t>
      </w:r>
      <w:r w:rsidR="00EA5795">
        <w:t>s</w:t>
      </w:r>
      <w:r w:rsidRPr="00F972D7">
        <w:t xml:space="preserve"> for FY 201</w:t>
      </w:r>
      <w:r w:rsidR="008926A8">
        <w:t>9</w:t>
      </w:r>
      <w:r w:rsidRPr="00F972D7">
        <w:t>-</w:t>
      </w:r>
      <w:r w:rsidR="008926A8">
        <w:t>20</w:t>
      </w:r>
      <w:r w:rsidR="00FD56B8">
        <w:t xml:space="preserve"> </w:t>
      </w:r>
      <w:r w:rsidRPr="00F972D7">
        <w:t xml:space="preserve">has considered the operational performance parameters as per </w:t>
      </w:r>
      <w:r>
        <w:t>Clause 8</w:t>
      </w:r>
      <w:r w:rsidRPr="00F972D7">
        <w:t xml:space="preserve"> of </w:t>
      </w:r>
      <w:r>
        <w:t xml:space="preserve">Schedule II of the approved </w:t>
      </w:r>
      <w:r w:rsidRPr="00F972D7">
        <w:t>Amended PPA.</w:t>
      </w:r>
      <w:bookmarkEnd w:id="384"/>
    </w:p>
    <w:p w:rsidR="00FF6B72" w:rsidRPr="00F972D7" w:rsidRDefault="00FF6B72" w:rsidP="00FF6B72">
      <w:pPr>
        <w:pStyle w:val="Heading2"/>
        <w:numPr>
          <w:ilvl w:val="0"/>
          <w:numId w:val="0"/>
        </w:numPr>
        <w:ind w:left="578"/>
        <w:rPr>
          <w:b/>
        </w:rPr>
      </w:pPr>
    </w:p>
    <w:p w:rsidR="00837D7F" w:rsidRDefault="00837D7F" w:rsidP="00FF6B72">
      <w:pPr>
        <w:pStyle w:val="Heading2"/>
        <w:numPr>
          <w:ilvl w:val="0"/>
          <w:numId w:val="0"/>
        </w:numPr>
        <w:ind w:left="578"/>
        <w:rPr>
          <w:b/>
        </w:rPr>
      </w:pPr>
      <w:bookmarkStart w:id="385" w:name="_Toc436552942"/>
      <w:r>
        <w:rPr>
          <w:b/>
        </w:rPr>
        <w:t>Normative Availability</w:t>
      </w:r>
    </w:p>
    <w:p w:rsidR="00837D7F" w:rsidRDefault="00EA1476" w:rsidP="007B3658">
      <w:pPr>
        <w:pStyle w:val="Heading2"/>
      </w:pPr>
      <w:r>
        <w:t xml:space="preserve">As per Clause </w:t>
      </w:r>
      <w:r w:rsidR="00C33162">
        <w:t xml:space="preserve">3.0(g) of Schedule II of the Amended PPA, Full Fixed Charges will be paid on achievement of </w:t>
      </w:r>
      <w:r w:rsidR="00DE4F1D">
        <w:t xml:space="preserve">Normative </w:t>
      </w:r>
      <w:r w:rsidR="00C33162">
        <w:t>Availability of 68.49%.</w:t>
      </w:r>
    </w:p>
    <w:p w:rsidR="00EA1476" w:rsidRPr="00EA1476" w:rsidRDefault="00EA1476" w:rsidP="00EA1476">
      <w:pPr>
        <w:rPr>
          <w:lang w:val="en-GB"/>
        </w:rPr>
      </w:pPr>
    </w:p>
    <w:p w:rsidR="00FF6B72" w:rsidRPr="00F972D7" w:rsidRDefault="00FF6B72" w:rsidP="00FF6B72">
      <w:pPr>
        <w:pStyle w:val="Heading2"/>
        <w:numPr>
          <w:ilvl w:val="0"/>
          <w:numId w:val="0"/>
        </w:numPr>
        <w:ind w:left="578"/>
        <w:rPr>
          <w:b/>
        </w:rPr>
      </w:pPr>
      <w:r w:rsidRPr="00F972D7">
        <w:rPr>
          <w:b/>
        </w:rPr>
        <w:t>Plant Load Factor (PLF)</w:t>
      </w:r>
      <w:bookmarkEnd w:id="385"/>
    </w:p>
    <w:p w:rsidR="00B74C2F" w:rsidRDefault="007256FA" w:rsidP="00FF6B72">
      <w:pPr>
        <w:pStyle w:val="Heading2"/>
      </w:pPr>
      <w:bookmarkStart w:id="386" w:name="_Toc436552944"/>
      <w:r>
        <w:t xml:space="preserve">As per Clause 3.0 (g) of Schedule II of the Amended PPA, the interest on working capital will be worked out considering normative level of generation. Accordingly, OPGC has considered the PLF of 68.49%, equal to the </w:t>
      </w:r>
      <w:r w:rsidR="00DE4F1D">
        <w:t>N</w:t>
      </w:r>
      <w:r>
        <w:t xml:space="preserve">ormative </w:t>
      </w:r>
      <w:r w:rsidR="00DE4F1D">
        <w:t>Availability</w:t>
      </w:r>
      <w:r w:rsidR="00BD1D77">
        <w:t xml:space="preserve"> for computing the coal cost, oil cost and receivables in the computation of interest of working capital</w:t>
      </w:r>
      <w:r w:rsidR="00361A2D">
        <w:t>.</w:t>
      </w:r>
    </w:p>
    <w:p w:rsidR="00B74C2F" w:rsidRDefault="00B74C2F" w:rsidP="00B74C2F"/>
    <w:p w:rsidR="00FF6B72" w:rsidRDefault="00FF6B72" w:rsidP="00FF6B72">
      <w:pPr>
        <w:pStyle w:val="Heading2"/>
      </w:pPr>
      <w:r w:rsidRPr="00F972D7">
        <w:t xml:space="preserve">As per Clause 3.0 (g) of Schedule II of the Amended PPA, the PLF </w:t>
      </w:r>
      <w:r>
        <w:t xml:space="preserve">applicable for computation of incentive </w:t>
      </w:r>
      <w:r w:rsidRPr="00F972D7">
        <w:t>shall be 80%.</w:t>
      </w:r>
      <w:bookmarkStart w:id="387" w:name="_Toc436552945"/>
      <w:bookmarkEnd w:id="386"/>
    </w:p>
    <w:p w:rsidR="00FF6B72" w:rsidRPr="001673E4" w:rsidRDefault="00FF6B72" w:rsidP="00FF6B72">
      <w:pPr>
        <w:rPr>
          <w:lang w:val="en-GB"/>
        </w:rPr>
      </w:pPr>
    </w:p>
    <w:p w:rsidR="00FF6B72" w:rsidRPr="00F972D7" w:rsidRDefault="00FF6B72" w:rsidP="00FF6B72">
      <w:pPr>
        <w:pStyle w:val="Heading2"/>
      </w:pPr>
      <w:r w:rsidRPr="00F972D7">
        <w:rPr>
          <w:b/>
          <w:szCs w:val="24"/>
        </w:rPr>
        <w:t>Gross Station Heat Rate</w:t>
      </w:r>
      <w:r>
        <w:t xml:space="preserve">: </w:t>
      </w:r>
      <w:r w:rsidRPr="00F972D7">
        <w:t xml:space="preserve">Gross Station Heat Rate </w:t>
      </w:r>
      <w:r>
        <w:t xml:space="preserve">of </w:t>
      </w:r>
      <w:r w:rsidRPr="00F972D7">
        <w:t>2500 kCal/kWh</w:t>
      </w:r>
      <w:r>
        <w:t xml:space="preserve"> has been considered </w:t>
      </w:r>
      <w:r w:rsidRPr="00F972D7">
        <w:t xml:space="preserve">as per </w:t>
      </w:r>
      <w:r>
        <w:t xml:space="preserve">Clause 8of Schedule II </w:t>
      </w:r>
      <w:r w:rsidRPr="00F972D7">
        <w:t>of the approved Amended PPA.</w:t>
      </w:r>
    </w:p>
    <w:p w:rsidR="00FF6B72" w:rsidRPr="00F972D7" w:rsidRDefault="00FF6B72" w:rsidP="00FF6B72">
      <w:pPr>
        <w:pStyle w:val="Heading2"/>
        <w:numPr>
          <w:ilvl w:val="0"/>
          <w:numId w:val="0"/>
        </w:numPr>
        <w:ind w:left="576"/>
        <w:rPr>
          <w:b/>
          <w:szCs w:val="24"/>
        </w:rPr>
      </w:pPr>
    </w:p>
    <w:p w:rsidR="00FF6B72" w:rsidRPr="00F972D7" w:rsidRDefault="00FF6B72" w:rsidP="00FF6B72">
      <w:pPr>
        <w:pStyle w:val="Heading2"/>
      </w:pPr>
      <w:bookmarkStart w:id="388" w:name="_Toc436552946"/>
      <w:bookmarkEnd w:id="387"/>
      <w:r>
        <w:rPr>
          <w:b/>
          <w:szCs w:val="24"/>
        </w:rPr>
        <w:t>Specific</w:t>
      </w:r>
      <w:r w:rsidRPr="00F972D7">
        <w:rPr>
          <w:b/>
          <w:szCs w:val="24"/>
        </w:rPr>
        <w:t xml:space="preserve"> Oil Consumption</w:t>
      </w:r>
      <w:r>
        <w:rPr>
          <w:b/>
          <w:szCs w:val="24"/>
        </w:rPr>
        <w:t xml:space="preserve">: </w:t>
      </w:r>
      <w:r w:rsidR="00272418">
        <w:t>Specific</w:t>
      </w:r>
      <w:r w:rsidRPr="00F972D7">
        <w:t xml:space="preserve"> Oil Consumption </w:t>
      </w:r>
      <w:r>
        <w:t xml:space="preserve">of 3.5 ml/kWh has been considered </w:t>
      </w:r>
      <w:r w:rsidRPr="00F972D7">
        <w:t xml:space="preserve">as per </w:t>
      </w:r>
      <w:r>
        <w:t xml:space="preserve">Clause 8of Schedule II </w:t>
      </w:r>
      <w:r w:rsidRPr="00F972D7">
        <w:t>of the approved Amended PPA.</w:t>
      </w:r>
      <w:bookmarkEnd w:id="388"/>
    </w:p>
    <w:p w:rsidR="00FF6B72" w:rsidRDefault="00FF6B72" w:rsidP="00FF6B72">
      <w:pPr>
        <w:pStyle w:val="Heading2"/>
        <w:numPr>
          <w:ilvl w:val="0"/>
          <w:numId w:val="0"/>
        </w:numPr>
        <w:ind w:left="578"/>
        <w:rPr>
          <w:b/>
          <w:szCs w:val="24"/>
        </w:rPr>
      </w:pPr>
      <w:bookmarkStart w:id="389" w:name="_Toc436552947"/>
    </w:p>
    <w:p w:rsidR="00FF6B72" w:rsidRPr="00F972D7" w:rsidRDefault="00FF6B72" w:rsidP="00FF6B72">
      <w:pPr>
        <w:pStyle w:val="Heading2"/>
      </w:pPr>
      <w:r w:rsidRPr="00F972D7">
        <w:rPr>
          <w:b/>
          <w:szCs w:val="24"/>
        </w:rPr>
        <w:t>Auxiliary Consumption</w:t>
      </w:r>
      <w:r>
        <w:rPr>
          <w:b/>
          <w:szCs w:val="24"/>
        </w:rPr>
        <w:t xml:space="preserve">: </w:t>
      </w:r>
      <w:r w:rsidRPr="00F972D7">
        <w:t xml:space="preserve">Auxiliary Consumption of 9.5% </w:t>
      </w:r>
      <w:r>
        <w:t xml:space="preserve">has been considered </w:t>
      </w:r>
      <w:r w:rsidRPr="00F972D7">
        <w:t xml:space="preserve">as per </w:t>
      </w:r>
      <w:r>
        <w:t xml:space="preserve">Clause 8of Schedule II </w:t>
      </w:r>
      <w:r w:rsidRPr="00F972D7">
        <w:t xml:space="preserve">of the approved </w:t>
      </w:r>
      <w:r>
        <w:t xml:space="preserve">Amended </w:t>
      </w:r>
      <w:r w:rsidRPr="00F972D7">
        <w:t>PPA.</w:t>
      </w:r>
    </w:p>
    <w:p w:rsidR="00FF6B72" w:rsidRPr="00F972D7" w:rsidRDefault="00FF6B72" w:rsidP="00FF6B72">
      <w:pPr>
        <w:pStyle w:val="Heading2"/>
        <w:numPr>
          <w:ilvl w:val="0"/>
          <w:numId w:val="0"/>
        </w:numPr>
        <w:ind w:left="576"/>
      </w:pPr>
    </w:p>
    <w:p w:rsidR="00FF6B72" w:rsidRDefault="00FF6B72" w:rsidP="00FF6B72">
      <w:pPr>
        <w:pStyle w:val="Heading2"/>
      </w:pPr>
      <w:r w:rsidRPr="00F972D7">
        <w:t xml:space="preserve">The Operational Performance parameters </w:t>
      </w:r>
      <w:r>
        <w:t>considered</w:t>
      </w:r>
      <w:r w:rsidRPr="00F972D7">
        <w:t xml:space="preserve"> by OPGC are summarised as under:</w:t>
      </w:r>
      <w:bookmarkEnd w:id="389"/>
    </w:p>
    <w:p w:rsidR="00FF6B72" w:rsidRPr="004B719D" w:rsidRDefault="00FF6B72" w:rsidP="00FF6B72">
      <w:pPr>
        <w:rPr>
          <w:lang w:val="en-GB"/>
        </w:rPr>
      </w:pPr>
    </w:p>
    <w:p w:rsidR="00FF6B72" w:rsidRPr="00F972D7" w:rsidRDefault="00FF6B72" w:rsidP="00FF6B72">
      <w:pPr>
        <w:widowControl w:val="0"/>
        <w:jc w:val="center"/>
        <w:rPr>
          <w:sz w:val="22"/>
        </w:rPr>
      </w:pPr>
      <w:bookmarkStart w:id="390" w:name="_Toc514428011"/>
      <w:bookmarkStart w:id="391" w:name="_Toc530497540"/>
      <w:r w:rsidRPr="00F972D7">
        <w:rPr>
          <w:b/>
          <w:szCs w:val="24"/>
        </w:rPr>
        <w:t xml:space="preserve">Table </w:t>
      </w:r>
      <w:r w:rsidR="00687F74">
        <w:rPr>
          <w:b/>
          <w:szCs w:val="24"/>
        </w:rPr>
        <w:fldChar w:fldCharType="begin"/>
      </w:r>
      <w:r>
        <w:rPr>
          <w:b/>
          <w:szCs w:val="24"/>
        </w:rPr>
        <w:instrText xml:space="preserve"> STYLEREF 1 \s </w:instrText>
      </w:r>
      <w:r w:rsidR="00687F74">
        <w:rPr>
          <w:b/>
          <w:szCs w:val="24"/>
        </w:rPr>
        <w:fldChar w:fldCharType="separate"/>
      </w:r>
      <w:r w:rsidR="008A42C7">
        <w:rPr>
          <w:b/>
          <w:noProof/>
          <w:szCs w:val="24"/>
        </w:rPr>
        <w:t>3</w:t>
      </w:r>
      <w:r w:rsidR="00687F74">
        <w:rPr>
          <w:b/>
          <w:szCs w:val="24"/>
        </w:rPr>
        <w:fldChar w:fldCharType="end"/>
      </w:r>
      <w:r>
        <w:rPr>
          <w:b/>
          <w:szCs w:val="24"/>
        </w:rPr>
        <w:t>.</w:t>
      </w:r>
      <w:r w:rsidR="00687F74">
        <w:rPr>
          <w:b/>
          <w:szCs w:val="24"/>
        </w:rPr>
        <w:fldChar w:fldCharType="begin"/>
      </w:r>
      <w:r>
        <w:rPr>
          <w:b/>
          <w:szCs w:val="24"/>
        </w:rPr>
        <w:instrText xml:space="preserve"> SEQ Table \* ARABIC \s 1 </w:instrText>
      </w:r>
      <w:r w:rsidR="00687F74">
        <w:rPr>
          <w:b/>
          <w:szCs w:val="24"/>
        </w:rPr>
        <w:fldChar w:fldCharType="separate"/>
      </w:r>
      <w:r w:rsidR="008A42C7">
        <w:rPr>
          <w:b/>
          <w:noProof/>
          <w:szCs w:val="24"/>
        </w:rPr>
        <w:t>5</w:t>
      </w:r>
      <w:r w:rsidR="00687F74">
        <w:rPr>
          <w:b/>
          <w:szCs w:val="24"/>
        </w:rPr>
        <w:fldChar w:fldCharType="end"/>
      </w:r>
      <w:r w:rsidRPr="00F972D7">
        <w:rPr>
          <w:b/>
          <w:szCs w:val="24"/>
        </w:rPr>
        <w:t xml:space="preserve">: </w:t>
      </w:r>
      <w:r w:rsidRPr="00F972D7">
        <w:rPr>
          <w:b/>
          <w:bCs/>
          <w:szCs w:val="24"/>
          <w:lang w:val="en-US"/>
        </w:rPr>
        <w:t>Operational Performance Parameters for FY 201</w:t>
      </w:r>
      <w:r w:rsidR="00FB5CB3">
        <w:rPr>
          <w:b/>
          <w:bCs/>
          <w:szCs w:val="24"/>
          <w:lang w:val="en-US"/>
        </w:rPr>
        <w:t>9</w:t>
      </w:r>
      <w:r w:rsidRPr="00F972D7">
        <w:rPr>
          <w:b/>
          <w:bCs/>
          <w:szCs w:val="24"/>
          <w:lang w:val="en-US"/>
        </w:rPr>
        <w:t>-</w:t>
      </w:r>
      <w:bookmarkEnd w:id="390"/>
      <w:r w:rsidR="00FB5CB3">
        <w:rPr>
          <w:b/>
          <w:bCs/>
          <w:szCs w:val="24"/>
          <w:lang w:val="en-US"/>
        </w:rPr>
        <w:t>20</w:t>
      </w:r>
      <w:bookmarkEnd w:id="391"/>
    </w:p>
    <w:tbl>
      <w:tblPr>
        <w:tblW w:w="36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6"/>
        <w:gridCol w:w="2831"/>
        <w:gridCol w:w="1314"/>
        <w:gridCol w:w="1784"/>
      </w:tblGrid>
      <w:tr w:rsidR="0035661A" w:rsidRPr="00F972D7" w:rsidTr="00657130">
        <w:trPr>
          <w:trHeight w:val="300"/>
          <w:tblHeader/>
          <w:jc w:val="center"/>
        </w:trPr>
        <w:tc>
          <w:tcPr>
            <w:tcW w:w="631" w:type="pct"/>
            <w:shd w:val="clear" w:color="auto" w:fill="FABF8F" w:themeFill="accent6" w:themeFillTint="99"/>
            <w:vAlign w:val="center"/>
          </w:tcPr>
          <w:p w:rsidR="0035661A" w:rsidRPr="00F972D7" w:rsidRDefault="0035661A" w:rsidP="008F275E">
            <w:pPr>
              <w:widowControl w:val="0"/>
              <w:spacing w:line="276" w:lineRule="auto"/>
              <w:rPr>
                <w:rFonts w:eastAsia="Times New Roman"/>
                <w:b/>
                <w:bCs/>
                <w:color w:val="000000"/>
                <w:szCs w:val="24"/>
                <w:lang w:val="en-US"/>
              </w:rPr>
            </w:pPr>
            <w:r w:rsidRPr="00F972D7">
              <w:rPr>
                <w:rFonts w:eastAsia="Times New Roman"/>
                <w:b/>
                <w:bCs/>
                <w:color w:val="000000"/>
                <w:szCs w:val="24"/>
                <w:lang w:val="en-US"/>
              </w:rPr>
              <w:t>Sr. No.</w:t>
            </w:r>
          </w:p>
        </w:tc>
        <w:tc>
          <w:tcPr>
            <w:tcW w:w="2086" w:type="pct"/>
            <w:shd w:val="clear" w:color="auto" w:fill="FABF8F" w:themeFill="accent6" w:themeFillTint="99"/>
            <w:noWrap/>
            <w:vAlign w:val="center"/>
            <w:hideMark/>
          </w:tcPr>
          <w:p w:rsidR="0035661A" w:rsidRPr="00F972D7" w:rsidRDefault="0035661A" w:rsidP="008F275E">
            <w:pPr>
              <w:widowControl w:val="0"/>
              <w:spacing w:line="276" w:lineRule="auto"/>
              <w:rPr>
                <w:rFonts w:eastAsia="Times New Roman"/>
                <w:b/>
                <w:bCs/>
                <w:color w:val="000000"/>
                <w:szCs w:val="24"/>
                <w:lang w:val="en-US"/>
              </w:rPr>
            </w:pPr>
            <w:r w:rsidRPr="00F972D7">
              <w:rPr>
                <w:rFonts w:eastAsia="Times New Roman"/>
                <w:b/>
                <w:bCs/>
                <w:color w:val="000000"/>
                <w:szCs w:val="24"/>
                <w:lang w:val="en-US"/>
              </w:rPr>
              <w:t xml:space="preserve">Particulars </w:t>
            </w:r>
          </w:p>
        </w:tc>
        <w:tc>
          <w:tcPr>
            <w:tcW w:w="968" w:type="pct"/>
            <w:shd w:val="clear" w:color="auto" w:fill="FABF8F" w:themeFill="accent6" w:themeFillTint="99"/>
            <w:noWrap/>
            <w:vAlign w:val="center"/>
            <w:hideMark/>
          </w:tcPr>
          <w:p w:rsidR="0035661A" w:rsidRPr="00F972D7" w:rsidRDefault="0035661A" w:rsidP="008F275E">
            <w:pPr>
              <w:widowControl w:val="0"/>
              <w:spacing w:line="276" w:lineRule="auto"/>
              <w:jc w:val="center"/>
              <w:rPr>
                <w:rFonts w:eastAsia="Times New Roman"/>
                <w:b/>
                <w:bCs/>
                <w:color w:val="000000"/>
                <w:szCs w:val="24"/>
                <w:lang w:val="en-US"/>
              </w:rPr>
            </w:pPr>
            <w:r w:rsidRPr="00F972D7">
              <w:rPr>
                <w:rFonts w:eastAsia="Times New Roman"/>
                <w:b/>
                <w:bCs/>
                <w:color w:val="000000"/>
                <w:szCs w:val="24"/>
                <w:lang w:val="en-US"/>
              </w:rPr>
              <w:t>Unit</w:t>
            </w:r>
          </w:p>
        </w:tc>
        <w:tc>
          <w:tcPr>
            <w:tcW w:w="1315" w:type="pct"/>
            <w:shd w:val="clear" w:color="auto" w:fill="FABF8F" w:themeFill="accent6" w:themeFillTint="99"/>
            <w:noWrap/>
            <w:vAlign w:val="center"/>
            <w:hideMark/>
          </w:tcPr>
          <w:p w:rsidR="0035661A" w:rsidRPr="00F972D7" w:rsidRDefault="0035661A" w:rsidP="008F275E">
            <w:pPr>
              <w:widowControl w:val="0"/>
              <w:spacing w:line="276" w:lineRule="auto"/>
              <w:jc w:val="center"/>
              <w:rPr>
                <w:rFonts w:eastAsia="Times New Roman"/>
                <w:b/>
                <w:bCs/>
                <w:color w:val="000000"/>
                <w:szCs w:val="24"/>
                <w:lang w:val="en-US"/>
              </w:rPr>
            </w:pPr>
            <w:r>
              <w:rPr>
                <w:b/>
                <w:szCs w:val="24"/>
              </w:rPr>
              <w:t>FY 2019-20</w:t>
            </w:r>
          </w:p>
        </w:tc>
      </w:tr>
      <w:tr w:rsidR="00657130" w:rsidRPr="00F972D7" w:rsidTr="00657130">
        <w:trPr>
          <w:trHeight w:val="300"/>
          <w:jc w:val="center"/>
        </w:trPr>
        <w:tc>
          <w:tcPr>
            <w:tcW w:w="631" w:type="pct"/>
            <w:vAlign w:val="center"/>
          </w:tcPr>
          <w:p w:rsidR="00657130" w:rsidRDefault="00657130" w:rsidP="008F275E">
            <w:pPr>
              <w:pStyle w:val="ListParagraph"/>
              <w:numPr>
                <w:ilvl w:val="0"/>
                <w:numId w:val="23"/>
              </w:numPr>
              <w:spacing w:line="276" w:lineRule="auto"/>
              <w:jc w:val="center"/>
              <w:rPr>
                <w:b/>
                <w:color w:val="000000"/>
                <w:kern w:val="32"/>
                <w:sz w:val="28"/>
                <w:szCs w:val="24"/>
                <w:lang w:val="en-US"/>
              </w:rPr>
            </w:pPr>
          </w:p>
        </w:tc>
        <w:tc>
          <w:tcPr>
            <w:tcW w:w="2086" w:type="pct"/>
            <w:shd w:val="clear" w:color="auto" w:fill="auto"/>
            <w:noWrap/>
            <w:vAlign w:val="center"/>
          </w:tcPr>
          <w:p w:rsidR="00657130" w:rsidRPr="00F972D7" w:rsidRDefault="00657130" w:rsidP="008F275E">
            <w:pPr>
              <w:widowControl w:val="0"/>
              <w:spacing w:line="276" w:lineRule="auto"/>
              <w:rPr>
                <w:rFonts w:eastAsia="Times New Roman"/>
                <w:color w:val="000000"/>
                <w:szCs w:val="24"/>
                <w:lang w:val="en-US"/>
              </w:rPr>
            </w:pPr>
            <w:r>
              <w:rPr>
                <w:rFonts w:eastAsia="Times New Roman"/>
                <w:color w:val="000000"/>
                <w:szCs w:val="24"/>
                <w:lang w:val="en-US"/>
              </w:rPr>
              <w:t>Normative Availability</w:t>
            </w:r>
          </w:p>
        </w:tc>
        <w:tc>
          <w:tcPr>
            <w:tcW w:w="968" w:type="pct"/>
            <w:shd w:val="clear" w:color="auto" w:fill="auto"/>
            <w:noWrap/>
            <w:vAlign w:val="center"/>
          </w:tcPr>
          <w:p w:rsidR="00657130" w:rsidRPr="00F972D7" w:rsidRDefault="00657130" w:rsidP="008F275E">
            <w:pPr>
              <w:widowControl w:val="0"/>
              <w:spacing w:line="276" w:lineRule="auto"/>
              <w:jc w:val="center"/>
              <w:rPr>
                <w:rFonts w:eastAsia="Times New Roman"/>
                <w:color w:val="000000"/>
                <w:szCs w:val="24"/>
                <w:lang w:val="en-US"/>
              </w:rPr>
            </w:pPr>
            <w:r>
              <w:rPr>
                <w:rFonts w:eastAsia="Times New Roman"/>
                <w:color w:val="000000"/>
                <w:szCs w:val="24"/>
                <w:lang w:val="en-US"/>
              </w:rPr>
              <w:t>%</w:t>
            </w:r>
          </w:p>
        </w:tc>
        <w:tc>
          <w:tcPr>
            <w:tcW w:w="1315" w:type="pct"/>
            <w:shd w:val="clear" w:color="auto" w:fill="auto"/>
            <w:noWrap/>
            <w:vAlign w:val="center"/>
          </w:tcPr>
          <w:p w:rsidR="00657130" w:rsidRDefault="00657130" w:rsidP="008F275E">
            <w:pPr>
              <w:widowControl w:val="0"/>
              <w:spacing w:line="276" w:lineRule="auto"/>
              <w:jc w:val="center"/>
              <w:rPr>
                <w:rFonts w:eastAsia="Times New Roman"/>
                <w:color w:val="000000"/>
                <w:szCs w:val="24"/>
                <w:lang w:val="en-US"/>
              </w:rPr>
            </w:pPr>
            <w:r>
              <w:rPr>
                <w:rFonts w:eastAsia="Times New Roman"/>
                <w:color w:val="000000"/>
                <w:szCs w:val="24"/>
                <w:lang w:val="en-US"/>
              </w:rPr>
              <w:t>68.49%</w:t>
            </w:r>
          </w:p>
        </w:tc>
      </w:tr>
      <w:tr w:rsidR="0035661A" w:rsidRPr="00F972D7" w:rsidTr="00657130">
        <w:trPr>
          <w:trHeight w:val="300"/>
          <w:jc w:val="center"/>
        </w:trPr>
        <w:tc>
          <w:tcPr>
            <w:tcW w:w="631" w:type="pct"/>
            <w:vAlign w:val="center"/>
          </w:tcPr>
          <w:p w:rsidR="0035661A" w:rsidRDefault="0035661A" w:rsidP="008F275E">
            <w:pPr>
              <w:pStyle w:val="ListParagraph"/>
              <w:numPr>
                <w:ilvl w:val="0"/>
                <w:numId w:val="23"/>
              </w:numPr>
              <w:spacing w:line="276" w:lineRule="auto"/>
              <w:jc w:val="center"/>
              <w:rPr>
                <w:b/>
                <w:color w:val="000000"/>
                <w:kern w:val="32"/>
                <w:sz w:val="28"/>
                <w:szCs w:val="24"/>
                <w:lang w:val="en-US"/>
              </w:rPr>
            </w:pPr>
          </w:p>
        </w:tc>
        <w:tc>
          <w:tcPr>
            <w:tcW w:w="2086" w:type="pct"/>
            <w:shd w:val="clear" w:color="auto" w:fill="auto"/>
            <w:noWrap/>
            <w:vAlign w:val="center"/>
            <w:hideMark/>
          </w:tcPr>
          <w:p w:rsidR="0035661A" w:rsidRPr="00F972D7" w:rsidRDefault="0035661A" w:rsidP="008F275E">
            <w:pPr>
              <w:widowControl w:val="0"/>
              <w:spacing w:line="276" w:lineRule="auto"/>
              <w:rPr>
                <w:rFonts w:eastAsia="Times New Roman"/>
                <w:color w:val="000000"/>
                <w:szCs w:val="24"/>
                <w:lang w:val="en-US"/>
              </w:rPr>
            </w:pPr>
            <w:r w:rsidRPr="00F972D7">
              <w:rPr>
                <w:rFonts w:eastAsia="Times New Roman"/>
                <w:color w:val="000000"/>
                <w:szCs w:val="24"/>
                <w:lang w:val="en-US"/>
              </w:rPr>
              <w:t xml:space="preserve">Auxiliary Consumption </w:t>
            </w:r>
          </w:p>
        </w:tc>
        <w:tc>
          <w:tcPr>
            <w:tcW w:w="968" w:type="pct"/>
            <w:shd w:val="clear" w:color="auto" w:fill="auto"/>
            <w:noWrap/>
            <w:vAlign w:val="center"/>
            <w:hideMark/>
          </w:tcPr>
          <w:p w:rsidR="0035661A" w:rsidRPr="00F972D7" w:rsidRDefault="0035661A" w:rsidP="008F275E">
            <w:pPr>
              <w:widowControl w:val="0"/>
              <w:spacing w:line="276" w:lineRule="auto"/>
              <w:jc w:val="center"/>
              <w:rPr>
                <w:rFonts w:eastAsia="Times New Roman"/>
                <w:color w:val="000000"/>
                <w:szCs w:val="24"/>
                <w:lang w:val="en-US"/>
              </w:rPr>
            </w:pPr>
            <w:r w:rsidRPr="00F972D7">
              <w:rPr>
                <w:rFonts w:eastAsia="Times New Roman"/>
                <w:color w:val="000000"/>
                <w:szCs w:val="24"/>
                <w:lang w:val="en-US"/>
              </w:rPr>
              <w:t>%</w:t>
            </w:r>
          </w:p>
        </w:tc>
        <w:tc>
          <w:tcPr>
            <w:tcW w:w="1315" w:type="pct"/>
            <w:shd w:val="clear" w:color="auto" w:fill="auto"/>
            <w:noWrap/>
            <w:vAlign w:val="center"/>
          </w:tcPr>
          <w:p w:rsidR="0035661A" w:rsidRPr="00F972D7" w:rsidRDefault="0035661A" w:rsidP="008F275E">
            <w:pPr>
              <w:widowControl w:val="0"/>
              <w:spacing w:line="276" w:lineRule="auto"/>
              <w:jc w:val="center"/>
              <w:rPr>
                <w:rFonts w:eastAsia="Times New Roman"/>
                <w:color w:val="000000"/>
                <w:szCs w:val="24"/>
                <w:lang w:val="en-US"/>
              </w:rPr>
            </w:pPr>
            <w:r>
              <w:rPr>
                <w:rFonts w:eastAsia="Times New Roman"/>
                <w:color w:val="000000"/>
                <w:szCs w:val="24"/>
                <w:lang w:val="en-US"/>
              </w:rPr>
              <w:t>9.50%</w:t>
            </w:r>
          </w:p>
        </w:tc>
      </w:tr>
      <w:tr w:rsidR="0035661A" w:rsidRPr="00F972D7" w:rsidTr="00657130">
        <w:trPr>
          <w:trHeight w:val="300"/>
          <w:jc w:val="center"/>
        </w:trPr>
        <w:tc>
          <w:tcPr>
            <w:tcW w:w="631" w:type="pct"/>
            <w:vAlign w:val="center"/>
          </w:tcPr>
          <w:p w:rsidR="0035661A" w:rsidRDefault="0035661A" w:rsidP="008F275E">
            <w:pPr>
              <w:pStyle w:val="ListParagraph"/>
              <w:numPr>
                <w:ilvl w:val="0"/>
                <w:numId w:val="23"/>
              </w:numPr>
              <w:spacing w:line="276" w:lineRule="auto"/>
              <w:jc w:val="center"/>
              <w:rPr>
                <w:b/>
                <w:color w:val="000000"/>
                <w:kern w:val="32"/>
                <w:sz w:val="28"/>
                <w:szCs w:val="24"/>
                <w:lang w:val="en-US"/>
              </w:rPr>
            </w:pPr>
          </w:p>
        </w:tc>
        <w:tc>
          <w:tcPr>
            <w:tcW w:w="2086" w:type="pct"/>
            <w:shd w:val="clear" w:color="auto" w:fill="auto"/>
            <w:noWrap/>
            <w:vAlign w:val="center"/>
            <w:hideMark/>
          </w:tcPr>
          <w:p w:rsidR="0035661A" w:rsidRPr="00F972D7" w:rsidRDefault="0035661A" w:rsidP="008F275E">
            <w:pPr>
              <w:widowControl w:val="0"/>
              <w:spacing w:line="276" w:lineRule="auto"/>
              <w:rPr>
                <w:rFonts w:eastAsia="Times New Roman"/>
                <w:color w:val="000000"/>
                <w:szCs w:val="24"/>
                <w:lang w:val="en-US"/>
              </w:rPr>
            </w:pPr>
            <w:r w:rsidRPr="00F972D7">
              <w:rPr>
                <w:rFonts w:eastAsia="Times New Roman"/>
                <w:color w:val="000000"/>
                <w:szCs w:val="24"/>
                <w:lang w:val="en-US"/>
              </w:rPr>
              <w:t xml:space="preserve">Station Heat Rate </w:t>
            </w:r>
          </w:p>
        </w:tc>
        <w:tc>
          <w:tcPr>
            <w:tcW w:w="968" w:type="pct"/>
            <w:shd w:val="clear" w:color="auto" w:fill="auto"/>
            <w:noWrap/>
            <w:vAlign w:val="center"/>
            <w:hideMark/>
          </w:tcPr>
          <w:p w:rsidR="0035661A" w:rsidRPr="00F972D7" w:rsidRDefault="0035661A" w:rsidP="008F275E">
            <w:pPr>
              <w:widowControl w:val="0"/>
              <w:spacing w:line="276" w:lineRule="auto"/>
              <w:jc w:val="center"/>
              <w:rPr>
                <w:rFonts w:eastAsia="Times New Roman"/>
                <w:color w:val="000000"/>
                <w:szCs w:val="24"/>
                <w:lang w:val="en-US"/>
              </w:rPr>
            </w:pPr>
            <w:r w:rsidRPr="00F972D7">
              <w:rPr>
                <w:rFonts w:eastAsia="Times New Roman"/>
                <w:color w:val="000000"/>
                <w:szCs w:val="24"/>
                <w:lang w:val="en-US"/>
              </w:rPr>
              <w:t>kcal/kWh</w:t>
            </w:r>
          </w:p>
        </w:tc>
        <w:tc>
          <w:tcPr>
            <w:tcW w:w="1315" w:type="pct"/>
            <w:shd w:val="clear" w:color="auto" w:fill="auto"/>
            <w:noWrap/>
            <w:vAlign w:val="center"/>
          </w:tcPr>
          <w:p w:rsidR="0035661A" w:rsidRPr="00F972D7" w:rsidRDefault="0035661A" w:rsidP="008F275E">
            <w:pPr>
              <w:widowControl w:val="0"/>
              <w:spacing w:line="276" w:lineRule="auto"/>
              <w:jc w:val="center"/>
              <w:rPr>
                <w:rFonts w:eastAsia="Times New Roman"/>
                <w:color w:val="000000"/>
                <w:szCs w:val="24"/>
                <w:lang w:val="en-US"/>
              </w:rPr>
            </w:pPr>
            <w:r>
              <w:rPr>
                <w:rFonts w:eastAsia="Times New Roman"/>
                <w:color w:val="000000"/>
                <w:szCs w:val="24"/>
                <w:lang w:val="en-US"/>
              </w:rPr>
              <w:t>2500</w:t>
            </w:r>
          </w:p>
        </w:tc>
      </w:tr>
      <w:tr w:rsidR="0035661A" w:rsidRPr="00F972D7" w:rsidTr="00657130">
        <w:trPr>
          <w:trHeight w:val="300"/>
          <w:jc w:val="center"/>
        </w:trPr>
        <w:tc>
          <w:tcPr>
            <w:tcW w:w="631" w:type="pct"/>
            <w:vAlign w:val="center"/>
          </w:tcPr>
          <w:p w:rsidR="0035661A" w:rsidRDefault="0035661A" w:rsidP="008F275E">
            <w:pPr>
              <w:pStyle w:val="ListParagraph"/>
              <w:numPr>
                <w:ilvl w:val="0"/>
                <w:numId w:val="23"/>
              </w:numPr>
              <w:spacing w:line="276" w:lineRule="auto"/>
              <w:jc w:val="center"/>
              <w:rPr>
                <w:b/>
                <w:color w:val="000000"/>
                <w:kern w:val="32"/>
                <w:sz w:val="28"/>
                <w:szCs w:val="24"/>
                <w:lang w:val="en-US"/>
              </w:rPr>
            </w:pPr>
          </w:p>
        </w:tc>
        <w:tc>
          <w:tcPr>
            <w:tcW w:w="2086" w:type="pct"/>
            <w:shd w:val="clear" w:color="auto" w:fill="auto"/>
            <w:noWrap/>
            <w:vAlign w:val="center"/>
            <w:hideMark/>
          </w:tcPr>
          <w:p w:rsidR="0035661A" w:rsidRPr="00F972D7" w:rsidRDefault="0035661A" w:rsidP="008F275E">
            <w:pPr>
              <w:widowControl w:val="0"/>
              <w:spacing w:line="276" w:lineRule="auto"/>
              <w:rPr>
                <w:rFonts w:eastAsia="Times New Roman"/>
                <w:color w:val="000000"/>
                <w:szCs w:val="24"/>
                <w:lang w:val="en-US"/>
              </w:rPr>
            </w:pPr>
            <w:r>
              <w:rPr>
                <w:rFonts w:eastAsia="Times New Roman"/>
                <w:color w:val="000000"/>
                <w:szCs w:val="24"/>
                <w:lang w:val="en-US"/>
              </w:rPr>
              <w:t xml:space="preserve">Specific Oil </w:t>
            </w:r>
            <w:r w:rsidRPr="00F972D7">
              <w:rPr>
                <w:rFonts w:eastAsia="Times New Roman"/>
                <w:color w:val="000000"/>
                <w:szCs w:val="24"/>
                <w:lang w:val="en-US"/>
              </w:rPr>
              <w:t xml:space="preserve">Consumption </w:t>
            </w:r>
          </w:p>
        </w:tc>
        <w:tc>
          <w:tcPr>
            <w:tcW w:w="968" w:type="pct"/>
            <w:shd w:val="clear" w:color="auto" w:fill="auto"/>
            <w:noWrap/>
            <w:vAlign w:val="center"/>
            <w:hideMark/>
          </w:tcPr>
          <w:p w:rsidR="0035661A" w:rsidRPr="00F972D7" w:rsidRDefault="0035661A" w:rsidP="008F275E">
            <w:pPr>
              <w:widowControl w:val="0"/>
              <w:spacing w:line="276" w:lineRule="auto"/>
              <w:jc w:val="center"/>
              <w:rPr>
                <w:rFonts w:eastAsia="Times New Roman"/>
                <w:color w:val="000000"/>
                <w:szCs w:val="24"/>
                <w:lang w:val="en-US"/>
              </w:rPr>
            </w:pPr>
            <w:r w:rsidRPr="00F972D7">
              <w:rPr>
                <w:rFonts w:eastAsia="Times New Roman"/>
                <w:color w:val="000000"/>
                <w:szCs w:val="24"/>
                <w:lang w:val="en-US"/>
              </w:rPr>
              <w:t>ml/ kWh</w:t>
            </w:r>
          </w:p>
        </w:tc>
        <w:tc>
          <w:tcPr>
            <w:tcW w:w="1315" w:type="pct"/>
            <w:shd w:val="clear" w:color="auto" w:fill="auto"/>
            <w:noWrap/>
            <w:vAlign w:val="center"/>
          </w:tcPr>
          <w:p w:rsidR="0035661A" w:rsidRPr="00F972D7" w:rsidRDefault="0035661A" w:rsidP="008F275E">
            <w:pPr>
              <w:widowControl w:val="0"/>
              <w:spacing w:line="276" w:lineRule="auto"/>
              <w:jc w:val="center"/>
              <w:rPr>
                <w:rFonts w:eastAsia="Times New Roman"/>
                <w:color w:val="000000"/>
                <w:szCs w:val="24"/>
                <w:lang w:val="en-US"/>
              </w:rPr>
            </w:pPr>
            <w:r>
              <w:rPr>
                <w:rFonts w:eastAsia="Times New Roman"/>
                <w:color w:val="000000"/>
                <w:szCs w:val="24"/>
                <w:lang w:val="en-US"/>
              </w:rPr>
              <w:t>3.50</w:t>
            </w:r>
          </w:p>
        </w:tc>
      </w:tr>
    </w:tbl>
    <w:p w:rsidR="00FF6B72" w:rsidRPr="00F972D7" w:rsidRDefault="00FF6B72" w:rsidP="00FF6B72">
      <w:pPr>
        <w:widowControl w:val="0"/>
        <w:autoSpaceDE w:val="0"/>
        <w:autoSpaceDN w:val="0"/>
        <w:adjustRightInd w:val="0"/>
        <w:rPr>
          <w:szCs w:val="24"/>
        </w:rPr>
      </w:pPr>
    </w:p>
    <w:p w:rsidR="00FF6B72" w:rsidRPr="00F972D7" w:rsidRDefault="00FF6B72" w:rsidP="00FF6B72">
      <w:pPr>
        <w:pStyle w:val="Heading3"/>
        <w:keepNext w:val="0"/>
        <w:widowControl w:val="0"/>
        <w:numPr>
          <w:ilvl w:val="0"/>
          <w:numId w:val="0"/>
        </w:numPr>
        <w:spacing w:before="0" w:after="0"/>
        <w:ind w:left="720" w:hanging="720"/>
        <w:rPr>
          <w:rFonts w:ascii="Times New Roman" w:hAnsi="Times New Roman"/>
          <w:b/>
          <w:bCs w:val="0"/>
          <w:i/>
          <w:szCs w:val="24"/>
        </w:rPr>
      </w:pPr>
      <w:bookmarkStart w:id="392" w:name="_Toc436552948"/>
      <w:r w:rsidRPr="00F972D7">
        <w:rPr>
          <w:rFonts w:ascii="Times New Roman" w:hAnsi="Times New Roman"/>
          <w:b/>
          <w:i/>
          <w:szCs w:val="24"/>
        </w:rPr>
        <w:t xml:space="preserve">Fuel </w:t>
      </w:r>
      <w:bookmarkEnd w:id="392"/>
      <w:r>
        <w:rPr>
          <w:rFonts w:ascii="Times New Roman" w:hAnsi="Times New Roman"/>
          <w:b/>
          <w:i/>
          <w:szCs w:val="24"/>
        </w:rPr>
        <w:t>Prices and GCV</w:t>
      </w:r>
    </w:p>
    <w:p w:rsidR="00FF6B72" w:rsidRPr="00F972D7" w:rsidRDefault="00FF6B72" w:rsidP="00FF6B72">
      <w:pPr>
        <w:pStyle w:val="Heading2"/>
      </w:pPr>
      <w:r>
        <w:t>During FY 201</w:t>
      </w:r>
      <w:r w:rsidR="001F5C39">
        <w:t>9</w:t>
      </w:r>
      <w:r>
        <w:t>-</w:t>
      </w:r>
      <w:r w:rsidR="001F5C39">
        <w:t>20</w:t>
      </w:r>
      <w:r>
        <w:t xml:space="preserve">, the entire coal requirement for </w:t>
      </w:r>
      <w:r w:rsidRPr="00F972D7">
        <w:t xml:space="preserve">OPGC </w:t>
      </w:r>
      <w:r>
        <w:t xml:space="preserve">is proposed to be met from coal supply under </w:t>
      </w:r>
      <w:r w:rsidRPr="00F972D7">
        <w:t xml:space="preserve">existing </w:t>
      </w:r>
      <w:r>
        <w:t xml:space="preserve">FSA with </w:t>
      </w:r>
      <w:r w:rsidRPr="00F972D7">
        <w:t xml:space="preserve">Mahanadi Coal Fields Limited (“MCL”).   </w:t>
      </w:r>
    </w:p>
    <w:p w:rsidR="00FF6B72" w:rsidRPr="00F972D7" w:rsidRDefault="00FF6B72" w:rsidP="00FF6B72">
      <w:pPr>
        <w:pStyle w:val="Heading2"/>
        <w:numPr>
          <w:ilvl w:val="0"/>
          <w:numId w:val="0"/>
        </w:numPr>
        <w:ind w:left="576"/>
      </w:pPr>
    </w:p>
    <w:p w:rsidR="00FF6B72" w:rsidRPr="00F972D7" w:rsidRDefault="00FF6B72" w:rsidP="00FF6B72">
      <w:pPr>
        <w:pStyle w:val="Heading2"/>
      </w:pPr>
      <w:r w:rsidRPr="00F972D7">
        <w:t>Clause 7.0 of Schedule II of the existing PPA provides the computation of Fuel Cost. For computation of the fuel</w:t>
      </w:r>
      <w:r>
        <w:t xml:space="preserve"> cost</w:t>
      </w:r>
      <w:r w:rsidRPr="00F972D7">
        <w:t>, OPGC has relied on the provisions of the Amended PPA</w:t>
      </w:r>
      <w:r>
        <w:t xml:space="preserve"> which provides that the Price and Gross Calorific Value of coal and oil shall be considered as delivered to the Power Station</w:t>
      </w:r>
      <w:r w:rsidRPr="00F972D7">
        <w:t xml:space="preserve">. </w:t>
      </w:r>
      <w:r>
        <w:t xml:space="preserve"> Further, Clause 9 of Schedule II of the PPA stipulates that the prices and GCV of oil and coal for one year shall be the base for the next year. Accordingly, OPGC has considered the actual weighted average prices and GCV of oil and coal for </w:t>
      </w:r>
      <w:r w:rsidR="000366D5">
        <w:t>the period November 2017 to October 2018</w:t>
      </w:r>
      <w:r>
        <w:t>.</w:t>
      </w:r>
    </w:p>
    <w:p w:rsidR="00FF6B72" w:rsidRDefault="00FF6B72" w:rsidP="00FF6B72">
      <w:pPr>
        <w:pStyle w:val="Heading2"/>
        <w:numPr>
          <w:ilvl w:val="0"/>
          <w:numId w:val="0"/>
        </w:numPr>
        <w:ind w:left="578"/>
      </w:pPr>
    </w:p>
    <w:p w:rsidR="00FF6B72" w:rsidRDefault="00FF6B72" w:rsidP="00FF6B72">
      <w:pPr>
        <w:pStyle w:val="Heading2"/>
      </w:pPr>
      <w:r>
        <w:t xml:space="preserve">Accordingly, </w:t>
      </w:r>
      <w:r w:rsidRPr="00F972D7">
        <w:t>GCV and Price of Coal and Oil considered for tariff computation is summarised below:</w:t>
      </w:r>
    </w:p>
    <w:p w:rsidR="00FF6B72" w:rsidRPr="00EB152D" w:rsidRDefault="00FF6B72" w:rsidP="00FF6B72">
      <w:pPr>
        <w:rPr>
          <w:lang w:val="en-GB"/>
        </w:rPr>
      </w:pPr>
    </w:p>
    <w:p w:rsidR="00FF6B72" w:rsidRPr="00F972D7" w:rsidRDefault="00FF6B72" w:rsidP="00FF6B72">
      <w:pPr>
        <w:pStyle w:val="ListParagraph"/>
        <w:numPr>
          <w:ilvl w:val="0"/>
          <w:numId w:val="0"/>
        </w:numPr>
        <w:ind w:left="720"/>
        <w:jc w:val="center"/>
        <w:rPr>
          <w:szCs w:val="24"/>
        </w:rPr>
      </w:pPr>
      <w:bookmarkStart w:id="393" w:name="_Toc514428012"/>
      <w:bookmarkStart w:id="394" w:name="_Toc530497541"/>
      <w:r w:rsidRPr="00F972D7">
        <w:rPr>
          <w:b/>
          <w:szCs w:val="24"/>
        </w:rPr>
        <w:t xml:space="preserve">Table </w:t>
      </w:r>
      <w:r w:rsidR="00687F74">
        <w:rPr>
          <w:b/>
          <w:szCs w:val="24"/>
        </w:rPr>
        <w:fldChar w:fldCharType="begin"/>
      </w:r>
      <w:r>
        <w:rPr>
          <w:b/>
          <w:szCs w:val="24"/>
        </w:rPr>
        <w:instrText xml:space="preserve"> STYLEREF 1 \s </w:instrText>
      </w:r>
      <w:r w:rsidR="00687F74">
        <w:rPr>
          <w:b/>
          <w:szCs w:val="24"/>
        </w:rPr>
        <w:fldChar w:fldCharType="separate"/>
      </w:r>
      <w:r w:rsidR="008A42C7">
        <w:rPr>
          <w:b/>
          <w:noProof/>
          <w:szCs w:val="24"/>
        </w:rPr>
        <w:t>3</w:t>
      </w:r>
      <w:r w:rsidR="00687F74">
        <w:rPr>
          <w:b/>
          <w:szCs w:val="24"/>
        </w:rPr>
        <w:fldChar w:fldCharType="end"/>
      </w:r>
      <w:r>
        <w:rPr>
          <w:b/>
          <w:szCs w:val="24"/>
        </w:rPr>
        <w:t>.</w:t>
      </w:r>
      <w:r w:rsidR="00687F74">
        <w:rPr>
          <w:b/>
          <w:szCs w:val="24"/>
        </w:rPr>
        <w:fldChar w:fldCharType="begin"/>
      </w:r>
      <w:r>
        <w:rPr>
          <w:b/>
          <w:szCs w:val="24"/>
        </w:rPr>
        <w:instrText xml:space="preserve"> SEQ Table \* ARABIC \s 1 </w:instrText>
      </w:r>
      <w:r w:rsidR="00687F74">
        <w:rPr>
          <w:b/>
          <w:szCs w:val="24"/>
        </w:rPr>
        <w:fldChar w:fldCharType="separate"/>
      </w:r>
      <w:r w:rsidR="008A42C7">
        <w:rPr>
          <w:b/>
          <w:noProof/>
          <w:szCs w:val="24"/>
        </w:rPr>
        <w:t>6</w:t>
      </w:r>
      <w:r w:rsidR="00687F74">
        <w:rPr>
          <w:b/>
          <w:szCs w:val="24"/>
        </w:rPr>
        <w:fldChar w:fldCharType="end"/>
      </w:r>
      <w:r w:rsidRPr="00F972D7">
        <w:rPr>
          <w:b/>
          <w:szCs w:val="24"/>
        </w:rPr>
        <w:t xml:space="preserve">: </w:t>
      </w:r>
      <w:r w:rsidRPr="00F972D7">
        <w:rPr>
          <w:b/>
          <w:bCs w:val="0"/>
          <w:color w:val="000000"/>
          <w:szCs w:val="24"/>
          <w:lang w:val="en-US"/>
        </w:rPr>
        <w:t>Price and Gross Calorific Value of Coal and Oil</w:t>
      </w:r>
      <w:bookmarkEnd w:id="393"/>
      <w:bookmarkEnd w:id="394"/>
    </w:p>
    <w:tbl>
      <w:tblPr>
        <w:tblW w:w="3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0"/>
        <w:gridCol w:w="4217"/>
        <w:gridCol w:w="2189"/>
      </w:tblGrid>
      <w:tr w:rsidR="008F275E" w:rsidRPr="00F972D7" w:rsidTr="008F275E">
        <w:trPr>
          <w:trHeight w:val="315"/>
          <w:tblHeader/>
          <w:jc w:val="center"/>
        </w:trPr>
        <w:tc>
          <w:tcPr>
            <w:tcW w:w="681" w:type="pct"/>
            <w:shd w:val="clear" w:color="auto" w:fill="FABF8F" w:themeFill="accent6" w:themeFillTint="99"/>
            <w:noWrap/>
            <w:vAlign w:val="center"/>
            <w:hideMark/>
          </w:tcPr>
          <w:p w:rsidR="008F275E" w:rsidRPr="00F972D7" w:rsidRDefault="008F275E" w:rsidP="008F275E">
            <w:pPr>
              <w:widowControl w:val="0"/>
              <w:spacing w:line="276" w:lineRule="auto"/>
              <w:rPr>
                <w:rFonts w:eastAsia="Times New Roman"/>
                <w:b/>
                <w:bCs/>
                <w:szCs w:val="24"/>
                <w:lang w:val="en-US"/>
              </w:rPr>
            </w:pPr>
            <w:r w:rsidRPr="00F972D7">
              <w:rPr>
                <w:rFonts w:eastAsia="Times New Roman"/>
                <w:b/>
                <w:bCs/>
                <w:color w:val="000000"/>
                <w:szCs w:val="24"/>
                <w:lang w:val="en-US"/>
              </w:rPr>
              <w:t>Sl. No.</w:t>
            </w:r>
          </w:p>
        </w:tc>
        <w:tc>
          <w:tcPr>
            <w:tcW w:w="2843" w:type="pct"/>
            <w:shd w:val="clear" w:color="auto" w:fill="FABF8F" w:themeFill="accent6" w:themeFillTint="99"/>
            <w:noWrap/>
            <w:vAlign w:val="center"/>
            <w:hideMark/>
          </w:tcPr>
          <w:p w:rsidR="008F275E" w:rsidRPr="00F972D7" w:rsidRDefault="008F275E" w:rsidP="008F275E">
            <w:pPr>
              <w:widowControl w:val="0"/>
              <w:spacing w:line="276" w:lineRule="auto"/>
              <w:rPr>
                <w:rFonts w:eastAsia="Times New Roman"/>
                <w:b/>
                <w:bCs/>
                <w:szCs w:val="24"/>
                <w:lang w:val="en-US"/>
              </w:rPr>
            </w:pPr>
            <w:r w:rsidRPr="00F972D7">
              <w:rPr>
                <w:rFonts w:eastAsia="Times New Roman"/>
                <w:b/>
                <w:bCs/>
                <w:color w:val="000000"/>
                <w:szCs w:val="24"/>
                <w:lang w:val="en-US"/>
              </w:rPr>
              <w:t xml:space="preserve">Source of Coal </w:t>
            </w:r>
          </w:p>
        </w:tc>
        <w:tc>
          <w:tcPr>
            <w:tcW w:w="1477" w:type="pct"/>
            <w:shd w:val="clear" w:color="auto" w:fill="FABF8F" w:themeFill="accent6" w:themeFillTint="99"/>
            <w:noWrap/>
            <w:vAlign w:val="center"/>
            <w:hideMark/>
          </w:tcPr>
          <w:p w:rsidR="008F275E" w:rsidRDefault="008F275E" w:rsidP="008F275E">
            <w:pPr>
              <w:widowControl w:val="0"/>
              <w:spacing w:line="276" w:lineRule="auto"/>
              <w:jc w:val="center"/>
              <w:rPr>
                <w:rFonts w:eastAsia="Times New Roman"/>
                <w:b/>
                <w:bCs/>
                <w:szCs w:val="24"/>
                <w:lang w:val="en-US"/>
              </w:rPr>
            </w:pPr>
            <w:r>
              <w:rPr>
                <w:rFonts w:eastAsia="Times New Roman"/>
                <w:b/>
                <w:bCs/>
                <w:szCs w:val="24"/>
                <w:lang w:val="en-US"/>
              </w:rPr>
              <w:t xml:space="preserve">Base for </w:t>
            </w:r>
          </w:p>
          <w:p w:rsidR="008F275E" w:rsidRPr="00F972D7" w:rsidRDefault="008F275E" w:rsidP="008F275E">
            <w:pPr>
              <w:widowControl w:val="0"/>
              <w:spacing w:line="276" w:lineRule="auto"/>
              <w:jc w:val="center"/>
              <w:rPr>
                <w:rFonts w:eastAsia="Times New Roman"/>
                <w:b/>
                <w:bCs/>
                <w:szCs w:val="24"/>
                <w:lang w:val="en-US"/>
              </w:rPr>
            </w:pPr>
            <w:r>
              <w:rPr>
                <w:rFonts w:eastAsia="Times New Roman"/>
                <w:b/>
                <w:bCs/>
                <w:szCs w:val="24"/>
                <w:lang w:val="en-US"/>
              </w:rPr>
              <w:t>FY 201</w:t>
            </w:r>
            <w:r w:rsidR="00104669">
              <w:rPr>
                <w:rFonts w:eastAsia="Times New Roman"/>
                <w:b/>
                <w:bCs/>
                <w:szCs w:val="24"/>
                <w:lang w:val="en-US"/>
              </w:rPr>
              <w:t>9</w:t>
            </w:r>
            <w:r>
              <w:rPr>
                <w:rFonts w:eastAsia="Times New Roman"/>
                <w:b/>
                <w:bCs/>
                <w:szCs w:val="24"/>
                <w:lang w:val="en-US"/>
              </w:rPr>
              <w:t>-</w:t>
            </w:r>
            <w:r w:rsidR="00104669">
              <w:rPr>
                <w:rFonts w:eastAsia="Times New Roman"/>
                <w:b/>
                <w:bCs/>
                <w:szCs w:val="24"/>
                <w:lang w:val="en-US"/>
              </w:rPr>
              <w:t>20</w:t>
            </w:r>
          </w:p>
        </w:tc>
      </w:tr>
      <w:tr w:rsidR="008F275E" w:rsidRPr="00F972D7" w:rsidTr="008F275E">
        <w:trPr>
          <w:trHeight w:val="285"/>
          <w:jc w:val="center"/>
        </w:trPr>
        <w:tc>
          <w:tcPr>
            <w:tcW w:w="681" w:type="pct"/>
            <w:shd w:val="clear" w:color="auto" w:fill="auto"/>
            <w:noWrap/>
            <w:vAlign w:val="center"/>
            <w:hideMark/>
          </w:tcPr>
          <w:p w:rsidR="008F275E" w:rsidRPr="00F972D7" w:rsidRDefault="008F275E" w:rsidP="008F275E">
            <w:pPr>
              <w:widowControl w:val="0"/>
              <w:spacing w:line="276" w:lineRule="auto"/>
              <w:jc w:val="center"/>
              <w:rPr>
                <w:rFonts w:eastAsia="Times New Roman"/>
                <w:szCs w:val="24"/>
                <w:lang w:val="en-US"/>
              </w:rPr>
            </w:pPr>
            <w:r w:rsidRPr="00F972D7">
              <w:rPr>
                <w:rFonts w:eastAsia="Times New Roman"/>
                <w:szCs w:val="24"/>
                <w:lang w:val="en-US"/>
              </w:rPr>
              <w:t>1</w:t>
            </w:r>
          </w:p>
        </w:tc>
        <w:tc>
          <w:tcPr>
            <w:tcW w:w="2843" w:type="pct"/>
            <w:shd w:val="clear" w:color="auto" w:fill="auto"/>
            <w:noWrap/>
            <w:vAlign w:val="center"/>
            <w:hideMark/>
          </w:tcPr>
          <w:p w:rsidR="008F275E" w:rsidRPr="00F972D7" w:rsidRDefault="008F275E" w:rsidP="008F275E">
            <w:pPr>
              <w:widowControl w:val="0"/>
              <w:spacing w:line="276" w:lineRule="auto"/>
              <w:rPr>
                <w:rFonts w:eastAsia="Times New Roman"/>
                <w:szCs w:val="24"/>
                <w:lang w:val="en-US"/>
              </w:rPr>
            </w:pPr>
            <w:r w:rsidRPr="00F972D7">
              <w:rPr>
                <w:rFonts w:eastAsia="Times New Roman"/>
                <w:szCs w:val="24"/>
                <w:lang w:val="en-US"/>
              </w:rPr>
              <w:t>Price of Coal (Rs. /MT)</w:t>
            </w:r>
          </w:p>
        </w:tc>
        <w:tc>
          <w:tcPr>
            <w:tcW w:w="1477" w:type="pct"/>
            <w:shd w:val="clear" w:color="auto" w:fill="auto"/>
            <w:noWrap/>
          </w:tcPr>
          <w:p w:rsidR="008F275E" w:rsidRPr="00E16793" w:rsidRDefault="0081235B" w:rsidP="008F275E">
            <w:pPr>
              <w:widowControl w:val="0"/>
              <w:spacing w:line="276" w:lineRule="auto"/>
              <w:jc w:val="center"/>
              <w:rPr>
                <w:rFonts w:eastAsia="Times New Roman"/>
                <w:szCs w:val="24"/>
              </w:rPr>
            </w:pPr>
            <w:r>
              <w:rPr>
                <w:rFonts w:eastAsia="Times New Roman"/>
                <w:szCs w:val="24"/>
              </w:rPr>
              <w:t>1600</w:t>
            </w:r>
            <w:r w:rsidR="00866396">
              <w:rPr>
                <w:rFonts w:eastAsia="Times New Roman"/>
                <w:szCs w:val="24"/>
              </w:rPr>
              <w:t>.13</w:t>
            </w:r>
          </w:p>
        </w:tc>
      </w:tr>
      <w:tr w:rsidR="008F275E" w:rsidRPr="00F972D7" w:rsidTr="008F275E">
        <w:trPr>
          <w:trHeight w:val="285"/>
          <w:jc w:val="center"/>
        </w:trPr>
        <w:tc>
          <w:tcPr>
            <w:tcW w:w="681" w:type="pct"/>
            <w:shd w:val="clear" w:color="auto" w:fill="auto"/>
            <w:noWrap/>
            <w:vAlign w:val="center"/>
            <w:hideMark/>
          </w:tcPr>
          <w:p w:rsidR="008F275E" w:rsidRPr="00F972D7" w:rsidRDefault="008F275E" w:rsidP="008F275E">
            <w:pPr>
              <w:widowControl w:val="0"/>
              <w:spacing w:line="276" w:lineRule="auto"/>
              <w:jc w:val="center"/>
              <w:rPr>
                <w:rFonts w:eastAsia="Times New Roman"/>
                <w:szCs w:val="24"/>
                <w:lang w:val="en-US"/>
              </w:rPr>
            </w:pPr>
            <w:r w:rsidRPr="00F972D7">
              <w:rPr>
                <w:rFonts w:eastAsia="Times New Roman"/>
                <w:szCs w:val="24"/>
                <w:lang w:val="en-US"/>
              </w:rPr>
              <w:t>2</w:t>
            </w:r>
          </w:p>
        </w:tc>
        <w:tc>
          <w:tcPr>
            <w:tcW w:w="2843" w:type="pct"/>
            <w:shd w:val="clear" w:color="auto" w:fill="auto"/>
            <w:noWrap/>
            <w:vAlign w:val="center"/>
            <w:hideMark/>
          </w:tcPr>
          <w:p w:rsidR="008F275E" w:rsidRPr="00F972D7" w:rsidRDefault="008F275E" w:rsidP="008F275E">
            <w:pPr>
              <w:widowControl w:val="0"/>
              <w:spacing w:line="276" w:lineRule="auto"/>
              <w:rPr>
                <w:rFonts w:eastAsia="Times New Roman"/>
                <w:szCs w:val="24"/>
                <w:lang w:val="en-US"/>
              </w:rPr>
            </w:pPr>
            <w:r w:rsidRPr="00F972D7">
              <w:rPr>
                <w:rFonts w:eastAsia="Times New Roman"/>
                <w:szCs w:val="24"/>
                <w:lang w:val="en-US"/>
              </w:rPr>
              <w:t xml:space="preserve">Price of </w:t>
            </w:r>
            <w:r>
              <w:rPr>
                <w:rFonts w:eastAsia="Times New Roman"/>
                <w:szCs w:val="24"/>
                <w:lang w:val="en-US"/>
              </w:rPr>
              <w:t>LDO</w:t>
            </w:r>
            <w:r w:rsidRPr="00F972D7">
              <w:rPr>
                <w:rFonts w:eastAsia="Times New Roman"/>
                <w:szCs w:val="24"/>
                <w:lang w:val="en-US"/>
              </w:rPr>
              <w:t xml:space="preserve"> (Rs./kL)</w:t>
            </w:r>
          </w:p>
        </w:tc>
        <w:tc>
          <w:tcPr>
            <w:tcW w:w="1477" w:type="pct"/>
            <w:shd w:val="clear" w:color="auto" w:fill="auto"/>
            <w:noWrap/>
          </w:tcPr>
          <w:p w:rsidR="008F275E" w:rsidRPr="00F972D7" w:rsidRDefault="00104669" w:rsidP="008F275E">
            <w:pPr>
              <w:widowControl w:val="0"/>
              <w:spacing w:line="276" w:lineRule="auto"/>
              <w:jc w:val="center"/>
              <w:rPr>
                <w:rFonts w:eastAsia="Times New Roman"/>
                <w:szCs w:val="24"/>
                <w:lang w:val="en-US"/>
              </w:rPr>
            </w:pPr>
            <w:r>
              <w:rPr>
                <w:rFonts w:eastAsia="Times New Roman"/>
                <w:szCs w:val="24"/>
                <w:lang w:val="en-US"/>
              </w:rPr>
              <w:t>48291</w:t>
            </w:r>
          </w:p>
        </w:tc>
      </w:tr>
      <w:tr w:rsidR="008F275E" w:rsidRPr="00F972D7" w:rsidTr="008F275E">
        <w:trPr>
          <w:trHeight w:val="285"/>
          <w:jc w:val="center"/>
        </w:trPr>
        <w:tc>
          <w:tcPr>
            <w:tcW w:w="681" w:type="pct"/>
            <w:shd w:val="clear" w:color="auto" w:fill="auto"/>
            <w:noWrap/>
            <w:vAlign w:val="center"/>
          </w:tcPr>
          <w:p w:rsidR="008F275E" w:rsidRPr="00F972D7" w:rsidRDefault="008F275E" w:rsidP="008F275E">
            <w:pPr>
              <w:widowControl w:val="0"/>
              <w:spacing w:line="276" w:lineRule="auto"/>
              <w:jc w:val="center"/>
              <w:rPr>
                <w:rFonts w:eastAsia="Times New Roman"/>
                <w:szCs w:val="24"/>
                <w:lang w:val="en-US"/>
              </w:rPr>
            </w:pPr>
            <w:r>
              <w:rPr>
                <w:rFonts w:eastAsia="Times New Roman"/>
                <w:szCs w:val="24"/>
                <w:lang w:val="en-US"/>
              </w:rPr>
              <w:t>3</w:t>
            </w:r>
          </w:p>
        </w:tc>
        <w:tc>
          <w:tcPr>
            <w:tcW w:w="2843" w:type="pct"/>
            <w:shd w:val="clear" w:color="auto" w:fill="auto"/>
            <w:noWrap/>
            <w:vAlign w:val="center"/>
          </w:tcPr>
          <w:p w:rsidR="008F275E" w:rsidRPr="00F972D7" w:rsidRDefault="008F275E" w:rsidP="008F275E">
            <w:pPr>
              <w:widowControl w:val="0"/>
              <w:spacing w:line="276" w:lineRule="auto"/>
              <w:rPr>
                <w:rFonts w:eastAsia="Times New Roman"/>
                <w:szCs w:val="24"/>
                <w:lang w:val="en-US"/>
              </w:rPr>
            </w:pPr>
            <w:r>
              <w:rPr>
                <w:rFonts w:eastAsia="Times New Roman"/>
                <w:szCs w:val="24"/>
                <w:lang w:val="en-US"/>
              </w:rPr>
              <w:t>Price of HFO</w:t>
            </w:r>
            <w:r w:rsidR="00104669">
              <w:rPr>
                <w:rFonts w:eastAsia="Times New Roman"/>
                <w:szCs w:val="24"/>
                <w:lang w:val="en-US"/>
              </w:rPr>
              <w:t xml:space="preserve"> (Rs./kL)</w:t>
            </w:r>
          </w:p>
        </w:tc>
        <w:tc>
          <w:tcPr>
            <w:tcW w:w="1477" w:type="pct"/>
            <w:shd w:val="clear" w:color="auto" w:fill="auto"/>
            <w:noWrap/>
          </w:tcPr>
          <w:p w:rsidR="008F275E" w:rsidRDefault="00A7790B" w:rsidP="008F275E">
            <w:pPr>
              <w:widowControl w:val="0"/>
              <w:spacing w:line="276" w:lineRule="auto"/>
              <w:jc w:val="center"/>
              <w:rPr>
                <w:rFonts w:eastAsia="Times New Roman"/>
                <w:szCs w:val="24"/>
                <w:lang w:val="en-US"/>
              </w:rPr>
            </w:pPr>
            <w:r>
              <w:rPr>
                <w:rFonts w:eastAsia="Times New Roman"/>
                <w:szCs w:val="24"/>
                <w:lang w:val="en-US"/>
              </w:rPr>
              <w:t>40826</w:t>
            </w:r>
          </w:p>
        </w:tc>
      </w:tr>
      <w:tr w:rsidR="008F275E" w:rsidRPr="00F972D7" w:rsidTr="008F275E">
        <w:trPr>
          <w:trHeight w:val="285"/>
          <w:jc w:val="center"/>
        </w:trPr>
        <w:tc>
          <w:tcPr>
            <w:tcW w:w="681" w:type="pct"/>
            <w:shd w:val="clear" w:color="auto" w:fill="auto"/>
            <w:noWrap/>
            <w:vAlign w:val="center"/>
            <w:hideMark/>
          </w:tcPr>
          <w:p w:rsidR="008F275E" w:rsidRPr="00F972D7" w:rsidRDefault="008F275E" w:rsidP="008F275E">
            <w:pPr>
              <w:widowControl w:val="0"/>
              <w:spacing w:line="276" w:lineRule="auto"/>
              <w:jc w:val="center"/>
              <w:rPr>
                <w:rFonts w:eastAsia="Times New Roman"/>
                <w:szCs w:val="24"/>
                <w:lang w:val="en-US"/>
              </w:rPr>
            </w:pPr>
            <w:r>
              <w:rPr>
                <w:rFonts w:eastAsia="Times New Roman"/>
                <w:szCs w:val="24"/>
                <w:lang w:val="en-US"/>
              </w:rPr>
              <w:t>4</w:t>
            </w:r>
          </w:p>
        </w:tc>
        <w:tc>
          <w:tcPr>
            <w:tcW w:w="2843" w:type="pct"/>
            <w:shd w:val="clear" w:color="auto" w:fill="auto"/>
            <w:noWrap/>
            <w:vAlign w:val="center"/>
            <w:hideMark/>
          </w:tcPr>
          <w:p w:rsidR="008F275E" w:rsidRPr="00F972D7" w:rsidRDefault="008F275E" w:rsidP="008F275E">
            <w:pPr>
              <w:widowControl w:val="0"/>
              <w:spacing w:line="276" w:lineRule="auto"/>
              <w:rPr>
                <w:rFonts w:eastAsia="Times New Roman"/>
                <w:szCs w:val="24"/>
                <w:lang w:val="en-US"/>
              </w:rPr>
            </w:pPr>
            <w:r w:rsidRPr="00F972D7">
              <w:rPr>
                <w:rFonts w:eastAsia="Times New Roman"/>
                <w:szCs w:val="24"/>
                <w:lang w:val="en-US"/>
              </w:rPr>
              <w:t>Gross Calorific Value of Coal (kCal/kg)</w:t>
            </w:r>
          </w:p>
        </w:tc>
        <w:tc>
          <w:tcPr>
            <w:tcW w:w="1477" w:type="pct"/>
            <w:shd w:val="clear" w:color="auto" w:fill="auto"/>
            <w:noWrap/>
          </w:tcPr>
          <w:p w:rsidR="008F275E" w:rsidRPr="00F972D7" w:rsidRDefault="00104669" w:rsidP="008F275E">
            <w:pPr>
              <w:widowControl w:val="0"/>
              <w:spacing w:line="276" w:lineRule="auto"/>
              <w:jc w:val="center"/>
              <w:rPr>
                <w:rFonts w:eastAsia="Times New Roman"/>
                <w:szCs w:val="24"/>
                <w:lang w:val="en-US"/>
              </w:rPr>
            </w:pPr>
            <w:r>
              <w:rPr>
                <w:rFonts w:eastAsia="Times New Roman"/>
                <w:szCs w:val="24"/>
                <w:lang w:val="en-US"/>
              </w:rPr>
              <w:t>2972</w:t>
            </w:r>
          </w:p>
        </w:tc>
      </w:tr>
      <w:tr w:rsidR="008F275E" w:rsidRPr="00F972D7" w:rsidTr="008F275E">
        <w:trPr>
          <w:trHeight w:val="64"/>
          <w:jc w:val="center"/>
        </w:trPr>
        <w:tc>
          <w:tcPr>
            <w:tcW w:w="681" w:type="pct"/>
            <w:shd w:val="clear" w:color="auto" w:fill="auto"/>
            <w:noWrap/>
            <w:vAlign w:val="center"/>
            <w:hideMark/>
          </w:tcPr>
          <w:p w:rsidR="008F275E" w:rsidRPr="00F972D7" w:rsidRDefault="008F275E" w:rsidP="008F275E">
            <w:pPr>
              <w:widowControl w:val="0"/>
              <w:spacing w:line="276" w:lineRule="auto"/>
              <w:jc w:val="center"/>
              <w:rPr>
                <w:rFonts w:eastAsia="Times New Roman"/>
                <w:szCs w:val="24"/>
                <w:lang w:val="en-US"/>
              </w:rPr>
            </w:pPr>
            <w:r>
              <w:rPr>
                <w:rFonts w:eastAsia="Times New Roman"/>
                <w:szCs w:val="24"/>
                <w:lang w:val="en-US"/>
              </w:rPr>
              <w:t>5</w:t>
            </w:r>
          </w:p>
        </w:tc>
        <w:tc>
          <w:tcPr>
            <w:tcW w:w="2843" w:type="pct"/>
            <w:shd w:val="clear" w:color="auto" w:fill="auto"/>
            <w:noWrap/>
            <w:vAlign w:val="center"/>
            <w:hideMark/>
          </w:tcPr>
          <w:p w:rsidR="008F275E" w:rsidRPr="00F972D7" w:rsidRDefault="008F275E" w:rsidP="008F275E">
            <w:pPr>
              <w:widowControl w:val="0"/>
              <w:spacing w:line="276" w:lineRule="auto"/>
              <w:rPr>
                <w:rFonts w:eastAsia="Times New Roman"/>
                <w:szCs w:val="24"/>
                <w:lang w:val="en-US"/>
              </w:rPr>
            </w:pPr>
            <w:r w:rsidRPr="00F972D7">
              <w:rPr>
                <w:rFonts w:eastAsia="Times New Roman"/>
                <w:szCs w:val="24"/>
                <w:lang w:val="en-US"/>
              </w:rPr>
              <w:t xml:space="preserve">Gross Calorific value of </w:t>
            </w:r>
            <w:r>
              <w:rPr>
                <w:rFonts w:eastAsia="Times New Roman"/>
                <w:szCs w:val="24"/>
                <w:lang w:val="en-US"/>
              </w:rPr>
              <w:t>LDO</w:t>
            </w:r>
            <w:r w:rsidRPr="00F972D7">
              <w:rPr>
                <w:rFonts w:eastAsia="Times New Roman"/>
                <w:szCs w:val="24"/>
                <w:lang w:val="en-US"/>
              </w:rPr>
              <w:t xml:space="preserve"> (kCal/</w:t>
            </w:r>
            <w:r>
              <w:rPr>
                <w:rFonts w:eastAsia="Times New Roman"/>
                <w:szCs w:val="24"/>
                <w:lang w:val="en-US"/>
              </w:rPr>
              <w:t>ltr.</w:t>
            </w:r>
            <w:r w:rsidRPr="00F972D7">
              <w:rPr>
                <w:rFonts w:eastAsia="Times New Roman"/>
                <w:szCs w:val="24"/>
                <w:lang w:val="en-US"/>
              </w:rPr>
              <w:t>)</w:t>
            </w:r>
          </w:p>
        </w:tc>
        <w:tc>
          <w:tcPr>
            <w:tcW w:w="1477" w:type="pct"/>
            <w:shd w:val="clear" w:color="auto" w:fill="auto"/>
            <w:noWrap/>
          </w:tcPr>
          <w:p w:rsidR="008F275E" w:rsidRPr="00F972D7" w:rsidRDefault="00104669" w:rsidP="008F275E">
            <w:pPr>
              <w:widowControl w:val="0"/>
              <w:spacing w:line="276" w:lineRule="auto"/>
              <w:jc w:val="center"/>
              <w:rPr>
                <w:rFonts w:eastAsia="Times New Roman"/>
                <w:szCs w:val="24"/>
                <w:lang w:val="en-US"/>
              </w:rPr>
            </w:pPr>
            <w:r>
              <w:rPr>
                <w:rFonts w:eastAsia="Times New Roman"/>
                <w:szCs w:val="24"/>
                <w:lang w:val="en-US"/>
              </w:rPr>
              <w:t>10000</w:t>
            </w:r>
          </w:p>
        </w:tc>
      </w:tr>
      <w:tr w:rsidR="008F275E" w:rsidRPr="00F972D7" w:rsidTr="008F275E">
        <w:trPr>
          <w:trHeight w:val="64"/>
          <w:jc w:val="center"/>
        </w:trPr>
        <w:tc>
          <w:tcPr>
            <w:tcW w:w="681" w:type="pct"/>
            <w:shd w:val="clear" w:color="auto" w:fill="auto"/>
            <w:noWrap/>
            <w:vAlign w:val="center"/>
          </w:tcPr>
          <w:p w:rsidR="008F275E" w:rsidRPr="00F972D7" w:rsidRDefault="008F275E" w:rsidP="008F275E">
            <w:pPr>
              <w:widowControl w:val="0"/>
              <w:spacing w:line="276" w:lineRule="auto"/>
              <w:jc w:val="center"/>
              <w:rPr>
                <w:rFonts w:eastAsia="Times New Roman"/>
                <w:szCs w:val="24"/>
                <w:lang w:val="en-US"/>
              </w:rPr>
            </w:pPr>
            <w:r>
              <w:rPr>
                <w:rFonts w:eastAsia="Times New Roman"/>
                <w:szCs w:val="24"/>
                <w:lang w:val="en-US"/>
              </w:rPr>
              <w:t>6</w:t>
            </w:r>
          </w:p>
        </w:tc>
        <w:tc>
          <w:tcPr>
            <w:tcW w:w="2843" w:type="pct"/>
            <w:shd w:val="clear" w:color="auto" w:fill="auto"/>
            <w:noWrap/>
            <w:vAlign w:val="center"/>
          </w:tcPr>
          <w:p w:rsidR="008F275E" w:rsidRPr="00F972D7" w:rsidRDefault="008F275E" w:rsidP="008F275E">
            <w:pPr>
              <w:widowControl w:val="0"/>
              <w:spacing w:line="276" w:lineRule="auto"/>
              <w:rPr>
                <w:rFonts w:eastAsia="Times New Roman"/>
                <w:szCs w:val="24"/>
                <w:lang w:val="en-US"/>
              </w:rPr>
            </w:pPr>
            <w:r w:rsidRPr="00F972D7">
              <w:rPr>
                <w:rFonts w:eastAsia="Times New Roman"/>
                <w:szCs w:val="24"/>
                <w:lang w:val="en-US"/>
              </w:rPr>
              <w:t xml:space="preserve">Gross Calorific value of </w:t>
            </w:r>
            <w:r>
              <w:rPr>
                <w:rFonts w:eastAsia="Times New Roman"/>
                <w:szCs w:val="24"/>
                <w:lang w:val="en-US"/>
              </w:rPr>
              <w:t>HFO</w:t>
            </w:r>
            <w:r w:rsidRPr="00F972D7">
              <w:rPr>
                <w:rFonts w:eastAsia="Times New Roman"/>
                <w:szCs w:val="24"/>
                <w:lang w:val="en-US"/>
              </w:rPr>
              <w:t xml:space="preserve"> (kCal/</w:t>
            </w:r>
            <w:r>
              <w:rPr>
                <w:rFonts w:eastAsia="Times New Roman"/>
                <w:szCs w:val="24"/>
                <w:lang w:val="en-US"/>
              </w:rPr>
              <w:t>ltr.</w:t>
            </w:r>
            <w:r w:rsidRPr="00F972D7">
              <w:rPr>
                <w:rFonts w:eastAsia="Times New Roman"/>
                <w:szCs w:val="24"/>
                <w:lang w:val="en-US"/>
              </w:rPr>
              <w:t>)</w:t>
            </w:r>
          </w:p>
        </w:tc>
        <w:tc>
          <w:tcPr>
            <w:tcW w:w="1477" w:type="pct"/>
            <w:shd w:val="clear" w:color="auto" w:fill="auto"/>
            <w:noWrap/>
          </w:tcPr>
          <w:p w:rsidR="008F275E" w:rsidRDefault="00104669" w:rsidP="008F275E">
            <w:pPr>
              <w:widowControl w:val="0"/>
              <w:spacing w:line="276" w:lineRule="auto"/>
              <w:jc w:val="center"/>
              <w:rPr>
                <w:rFonts w:eastAsia="Times New Roman"/>
                <w:szCs w:val="24"/>
                <w:lang w:val="en-US"/>
              </w:rPr>
            </w:pPr>
            <w:r>
              <w:rPr>
                <w:rFonts w:eastAsia="Times New Roman"/>
                <w:szCs w:val="24"/>
                <w:lang w:val="en-US"/>
              </w:rPr>
              <w:t>10000</w:t>
            </w:r>
          </w:p>
        </w:tc>
      </w:tr>
    </w:tbl>
    <w:p w:rsidR="00FF6B72" w:rsidRPr="00F972D7" w:rsidRDefault="00FF6B72" w:rsidP="00FF6B72">
      <w:pPr>
        <w:widowControl w:val="0"/>
        <w:autoSpaceDE w:val="0"/>
        <w:autoSpaceDN w:val="0"/>
        <w:adjustRightInd w:val="0"/>
        <w:rPr>
          <w:szCs w:val="24"/>
          <w:lang w:val="en-US"/>
        </w:rPr>
      </w:pPr>
    </w:p>
    <w:p w:rsidR="00FF6B72" w:rsidRPr="00F972D7" w:rsidRDefault="00FF6B72" w:rsidP="00FF6B72">
      <w:pPr>
        <w:pStyle w:val="Heading3"/>
        <w:keepNext w:val="0"/>
        <w:widowControl w:val="0"/>
        <w:numPr>
          <w:ilvl w:val="0"/>
          <w:numId w:val="0"/>
        </w:numPr>
        <w:spacing w:before="0" w:after="0"/>
        <w:ind w:left="720" w:hanging="720"/>
        <w:rPr>
          <w:rFonts w:ascii="Times New Roman" w:hAnsi="Times New Roman"/>
          <w:b/>
          <w:bCs w:val="0"/>
          <w:i/>
          <w:szCs w:val="24"/>
        </w:rPr>
      </w:pPr>
      <w:bookmarkStart w:id="395" w:name="_Toc436552949"/>
      <w:r w:rsidRPr="00F972D7">
        <w:rPr>
          <w:rFonts w:ascii="Times New Roman" w:hAnsi="Times New Roman"/>
          <w:b/>
          <w:i/>
          <w:szCs w:val="24"/>
        </w:rPr>
        <w:t>Energy Charge</w:t>
      </w:r>
      <w:bookmarkEnd w:id="395"/>
    </w:p>
    <w:p w:rsidR="00FF6B72" w:rsidRDefault="00FF6B72" w:rsidP="00FF6B72">
      <w:pPr>
        <w:pStyle w:val="Heading2"/>
      </w:pPr>
      <w:r w:rsidRPr="00F972D7">
        <w:t>OPGC</w:t>
      </w:r>
      <w:r w:rsidR="00FD56B8">
        <w:t xml:space="preserve"> </w:t>
      </w:r>
      <w:r w:rsidRPr="00F972D7">
        <w:t xml:space="preserve">has computed </w:t>
      </w:r>
      <w:r w:rsidR="00104669">
        <w:t>Variable</w:t>
      </w:r>
      <w:r w:rsidRPr="00F972D7">
        <w:t xml:space="preserve"> Charge</w:t>
      </w:r>
      <w:r w:rsidR="00734B17">
        <w:t>s</w:t>
      </w:r>
      <w:r w:rsidR="00FD56B8">
        <w:t xml:space="preserve"> </w:t>
      </w:r>
      <w:r w:rsidRPr="00F972D7">
        <w:t>for FY 201</w:t>
      </w:r>
      <w:r w:rsidR="00104669">
        <w:t>9</w:t>
      </w:r>
      <w:r w:rsidRPr="00F972D7">
        <w:t>-</w:t>
      </w:r>
      <w:r w:rsidR="00104669">
        <w:t>20</w:t>
      </w:r>
      <w:r w:rsidR="00FD56B8">
        <w:t xml:space="preserve"> </w:t>
      </w:r>
      <w:r w:rsidRPr="00F972D7">
        <w:t xml:space="preserve">as per Clause 7.0 of Schedule II of the Amended PPA. The computation of </w:t>
      </w:r>
      <w:r w:rsidR="00734B17">
        <w:t>Variable</w:t>
      </w:r>
      <w:r w:rsidRPr="00F972D7">
        <w:t xml:space="preserve"> Charge</w:t>
      </w:r>
      <w:r w:rsidR="00734B17">
        <w:t>s</w:t>
      </w:r>
      <w:r w:rsidRPr="00F972D7">
        <w:t xml:space="preserve"> for FY 201</w:t>
      </w:r>
      <w:r w:rsidR="00734B17">
        <w:t>9</w:t>
      </w:r>
      <w:r w:rsidRPr="00F972D7">
        <w:t>-</w:t>
      </w:r>
      <w:r w:rsidR="00734B17">
        <w:t>20</w:t>
      </w:r>
      <w:r w:rsidR="00FD56B8">
        <w:t xml:space="preserve"> </w:t>
      </w:r>
      <w:r w:rsidRPr="00F972D7">
        <w:t>is</w:t>
      </w:r>
      <w:r w:rsidR="00FD56B8">
        <w:t xml:space="preserve"> </w:t>
      </w:r>
      <w:r w:rsidRPr="00F972D7">
        <w:t>given in the Table below:</w:t>
      </w:r>
    </w:p>
    <w:p w:rsidR="003556D2" w:rsidRPr="003556D2" w:rsidRDefault="003556D2" w:rsidP="003556D2">
      <w:pPr>
        <w:rPr>
          <w:lang w:val="en-GB"/>
        </w:rPr>
      </w:pPr>
    </w:p>
    <w:p w:rsidR="00FF6B72" w:rsidRPr="00F972D7" w:rsidRDefault="00FF6B72" w:rsidP="00FF6B72">
      <w:pPr>
        <w:pStyle w:val="ListParagraph"/>
        <w:numPr>
          <w:ilvl w:val="0"/>
          <w:numId w:val="0"/>
        </w:numPr>
        <w:ind w:left="720"/>
        <w:jc w:val="center"/>
        <w:rPr>
          <w:b/>
          <w:bCs w:val="0"/>
          <w:szCs w:val="24"/>
          <w:lang w:val="en-US"/>
        </w:rPr>
      </w:pPr>
      <w:bookmarkStart w:id="396" w:name="_Toc514428013"/>
      <w:bookmarkStart w:id="397" w:name="_Toc530497542"/>
      <w:r w:rsidRPr="00F972D7">
        <w:rPr>
          <w:b/>
          <w:szCs w:val="24"/>
        </w:rPr>
        <w:t xml:space="preserve">Table </w:t>
      </w:r>
      <w:r w:rsidR="00687F74">
        <w:rPr>
          <w:b/>
          <w:szCs w:val="24"/>
        </w:rPr>
        <w:fldChar w:fldCharType="begin"/>
      </w:r>
      <w:r>
        <w:rPr>
          <w:b/>
          <w:szCs w:val="24"/>
        </w:rPr>
        <w:instrText xml:space="preserve"> STYLEREF 1 \s </w:instrText>
      </w:r>
      <w:r w:rsidR="00687F74">
        <w:rPr>
          <w:b/>
          <w:szCs w:val="24"/>
        </w:rPr>
        <w:fldChar w:fldCharType="separate"/>
      </w:r>
      <w:r w:rsidR="008A42C7">
        <w:rPr>
          <w:b/>
          <w:noProof/>
          <w:szCs w:val="24"/>
        </w:rPr>
        <w:t>3</w:t>
      </w:r>
      <w:r w:rsidR="00687F74">
        <w:rPr>
          <w:b/>
          <w:szCs w:val="24"/>
        </w:rPr>
        <w:fldChar w:fldCharType="end"/>
      </w:r>
      <w:r>
        <w:rPr>
          <w:b/>
          <w:szCs w:val="24"/>
        </w:rPr>
        <w:t>.</w:t>
      </w:r>
      <w:r w:rsidR="00687F74">
        <w:rPr>
          <w:b/>
          <w:szCs w:val="24"/>
        </w:rPr>
        <w:fldChar w:fldCharType="begin"/>
      </w:r>
      <w:r>
        <w:rPr>
          <w:b/>
          <w:szCs w:val="24"/>
        </w:rPr>
        <w:instrText xml:space="preserve"> SEQ Table \* ARABIC \s 1 </w:instrText>
      </w:r>
      <w:r w:rsidR="00687F74">
        <w:rPr>
          <w:b/>
          <w:szCs w:val="24"/>
        </w:rPr>
        <w:fldChar w:fldCharType="separate"/>
      </w:r>
      <w:r w:rsidR="008A42C7">
        <w:rPr>
          <w:b/>
          <w:noProof/>
          <w:szCs w:val="24"/>
        </w:rPr>
        <w:t>7</w:t>
      </w:r>
      <w:r w:rsidR="00687F74">
        <w:rPr>
          <w:b/>
          <w:szCs w:val="24"/>
        </w:rPr>
        <w:fldChar w:fldCharType="end"/>
      </w:r>
      <w:r w:rsidRPr="00F972D7">
        <w:rPr>
          <w:b/>
          <w:szCs w:val="24"/>
        </w:rPr>
        <w:t xml:space="preserve">: </w:t>
      </w:r>
      <w:r w:rsidR="00734B17">
        <w:rPr>
          <w:b/>
          <w:bCs w:val="0"/>
          <w:szCs w:val="24"/>
          <w:lang w:val="en-US"/>
        </w:rPr>
        <w:t>Variable</w:t>
      </w:r>
      <w:r w:rsidRPr="00F972D7">
        <w:rPr>
          <w:b/>
          <w:bCs w:val="0"/>
          <w:szCs w:val="24"/>
          <w:lang w:val="en-US"/>
        </w:rPr>
        <w:t xml:space="preserve"> Charge</w:t>
      </w:r>
      <w:r>
        <w:rPr>
          <w:b/>
          <w:bCs w:val="0"/>
          <w:szCs w:val="24"/>
          <w:lang w:val="en-US"/>
        </w:rPr>
        <w:t>s</w:t>
      </w:r>
      <w:r w:rsidRPr="00F972D7">
        <w:rPr>
          <w:b/>
          <w:bCs w:val="0"/>
          <w:szCs w:val="24"/>
          <w:lang w:val="en-US"/>
        </w:rPr>
        <w:t xml:space="preserve"> for 201</w:t>
      </w:r>
      <w:r w:rsidR="00734B17">
        <w:rPr>
          <w:b/>
          <w:bCs w:val="0"/>
          <w:szCs w:val="24"/>
          <w:lang w:val="en-US"/>
        </w:rPr>
        <w:t>9</w:t>
      </w:r>
      <w:r w:rsidRPr="00F972D7">
        <w:rPr>
          <w:b/>
          <w:bCs w:val="0"/>
          <w:szCs w:val="24"/>
          <w:lang w:val="en-US"/>
        </w:rPr>
        <w:t>-</w:t>
      </w:r>
      <w:bookmarkEnd w:id="396"/>
      <w:r w:rsidR="00734B17">
        <w:rPr>
          <w:b/>
          <w:bCs w:val="0"/>
          <w:szCs w:val="24"/>
          <w:lang w:val="en-US"/>
        </w:rPr>
        <w:t>20</w:t>
      </w:r>
      <w:bookmarkEnd w:id="397"/>
    </w:p>
    <w:tbl>
      <w:tblPr>
        <w:tblW w:w="3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tblPr>
      <w:tblGrid>
        <w:gridCol w:w="3318"/>
        <w:gridCol w:w="1985"/>
        <w:gridCol w:w="1975"/>
      </w:tblGrid>
      <w:tr w:rsidR="00734B17" w:rsidRPr="00F972D7" w:rsidTr="00734B17">
        <w:trPr>
          <w:trHeight w:val="170"/>
          <w:tblHeader/>
          <w:jc w:val="center"/>
        </w:trPr>
        <w:tc>
          <w:tcPr>
            <w:tcW w:w="2279" w:type="pct"/>
            <w:shd w:val="clear" w:color="auto" w:fill="FABF8F" w:themeFill="accent6" w:themeFillTint="99"/>
            <w:noWrap/>
            <w:vAlign w:val="center"/>
            <w:hideMark/>
          </w:tcPr>
          <w:p w:rsidR="00734B17" w:rsidRPr="00F972D7" w:rsidRDefault="00734B17" w:rsidP="008C7FFB">
            <w:pPr>
              <w:widowControl w:val="0"/>
              <w:spacing w:line="276" w:lineRule="auto"/>
              <w:rPr>
                <w:rFonts w:eastAsia="Times New Roman"/>
                <w:szCs w:val="24"/>
                <w:lang w:val="en-US"/>
              </w:rPr>
            </w:pPr>
            <w:bookmarkStart w:id="398" w:name="_Toc436552950"/>
            <w:r w:rsidRPr="00F972D7">
              <w:rPr>
                <w:rFonts w:eastAsia="Times New Roman"/>
                <w:b/>
                <w:bCs/>
                <w:color w:val="000000"/>
                <w:szCs w:val="24"/>
                <w:lang w:val="en-US"/>
              </w:rPr>
              <w:t xml:space="preserve">Particulars </w:t>
            </w:r>
          </w:p>
        </w:tc>
        <w:tc>
          <w:tcPr>
            <w:tcW w:w="1364" w:type="pct"/>
            <w:shd w:val="clear" w:color="auto" w:fill="FABF8F" w:themeFill="accent6" w:themeFillTint="99"/>
            <w:noWrap/>
            <w:vAlign w:val="center"/>
            <w:hideMark/>
          </w:tcPr>
          <w:p w:rsidR="00734B17" w:rsidRPr="00F972D7" w:rsidRDefault="00734B17" w:rsidP="008C7FFB">
            <w:pPr>
              <w:widowControl w:val="0"/>
              <w:spacing w:line="276" w:lineRule="auto"/>
              <w:jc w:val="center"/>
              <w:rPr>
                <w:rFonts w:eastAsia="Times New Roman"/>
                <w:szCs w:val="24"/>
                <w:lang w:val="en-US"/>
              </w:rPr>
            </w:pPr>
            <w:r w:rsidRPr="00F972D7">
              <w:rPr>
                <w:rFonts w:eastAsia="Times New Roman"/>
                <w:b/>
                <w:bCs/>
                <w:color w:val="000000"/>
                <w:szCs w:val="24"/>
                <w:lang w:val="en-US"/>
              </w:rPr>
              <w:t xml:space="preserve">Unit </w:t>
            </w:r>
          </w:p>
        </w:tc>
        <w:tc>
          <w:tcPr>
            <w:tcW w:w="1357" w:type="pct"/>
            <w:shd w:val="clear" w:color="auto" w:fill="FABF8F" w:themeFill="accent6" w:themeFillTint="99"/>
            <w:noWrap/>
            <w:vAlign w:val="center"/>
            <w:hideMark/>
          </w:tcPr>
          <w:p w:rsidR="00734B17" w:rsidRPr="00F972D7" w:rsidRDefault="00734B17" w:rsidP="008C7FFB">
            <w:pPr>
              <w:widowControl w:val="0"/>
              <w:spacing w:line="276" w:lineRule="auto"/>
              <w:jc w:val="center"/>
              <w:rPr>
                <w:rFonts w:eastAsia="Times New Roman"/>
                <w:szCs w:val="24"/>
                <w:lang w:val="en-US"/>
              </w:rPr>
            </w:pPr>
            <w:r>
              <w:rPr>
                <w:rFonts w:eastAsia="Times New Roman"/>
                <w:b/>
                <w:bCs/>
                <w:color w:val="000000"/>
                <w:szCs w:val="24"/>
                <w:lang w:val="en-US"/>
              </w:rPr>
              <w:t>FY 2019-20</w:t>
            </w:r>
          </w:p>
        </w:tc>
      </w:tr>
      <w:tr w:rsidR="00734B17" w:rsidRPr="00F972D7" w:rsidTr="00734B17">
        <w:trPr>
          <w:trHeight w:val="170"/>
          <w:jc w:val="center"/>
        </w:trPr>
        <w:tc>
          <w:tcPr>
            <w:tcW w:w="2279" w:type="pct"/>
            <w:shd w:val="clear" w:color="auto" w:fill="auto"/>
            <w:noWrap/>
            <w:vAlign w:val="center"/>
            <w:hideMark/>
          </w:tcPr>
          <w:p w:rsidR="00734B17" w:rsidRPr="00F972D7" w:rsidRDefault="00734B17" w:rsidP="008C7FFB">
            <w:pPr>
              <w:widowControl w:val="0"/>
              <w:spacing w:line="276" w:lineRule="auto"/>
              <w:ind w:left="113"/>
              <w:rPr>
                <w:rFonts w:eastAsia="Times New Roman"/>
                <w:szCs w:val="24"/>
                <w:lang w:val="en-US"/>
              </w:rPr>
            </w:pPr>
            <w:r w:rsidRPr="00F972D7">
              <w:rPr>
                <w:rFonts w:eastAsia="Times New Roman"/>
                <w:szCs w:val="24"/>
                <w:lang w:val="en-US"/>
              </w:rPr>
              <w:t>Auxiliary Consumption</w:t>
            </w:r>
          </w:p>
        </w:tc>
        <w:tc>
          <w:tcPr>
            <w:tcW w:w="1364" w:type="pct"/>
            <w:shd w:val="clear" w:color="auto" w:fill="auto"/>
            <w:noWrap/>
            <w:vAlign w:val="center"/>
            <w:hideMark/>
          </w:tcPr>
          <w:p w:rsidR="00734B17" w:rsidRPr="00F972D7" w:rsidRDefault="00734B17" w:rsidP="008C7FFB">
            <w:pPr>
              <w:widowControl w:val="0"/>
              <w:spacing w:line="276" w:lineRule="auto"/>
              <w:ind w:left="113"/>
              <w:jc w:val="center"/>
              <w:rPr>
                <w:rFonts w:eastAsia="Times New Roman"/>
                <w:szCs w:val="24"/>
                <w:lang w:val="en-US"/>
              </w:rPr>
            </w:pPr>
            <w:r w:rsidRPr="00F972D7">
              <w:rPr>
                <w:rFonts w:eastAsia="Times New Roman"/>
                <w:szCs w:val="24"/>
                <w:lang w:val="en-US"/>
              </w:rPr>
              <w:t>%</w:t>
            </w:r>
          </w:p>
        </w:tc>
        <w:tc>
          <w:tcPr>
            <w:tcW w:w="1357" w:type="pct"/>
            <w:shd w:val="clear" w:color="auto" w:fill="auto"/>
            <w:noWrap/>
            <w:vAlign w:val="center"/>
          </w:tcPr>
          <w:p w:rsidR="00734B17" w:rsidRPr="00F972D7" w:rsidRDefault="00734B17" w:rsidP="008C7FFB">
            <w:pPr>
              <w:widowControl w:val="0"/>
              <w:spacing w:line="276" w:lineRule="auto"/>
              <w:jc w:val="center"/>
              <w:rPr>
                <w:rFonts w:eastAsia="Times New Roman"/>
                <w:bCs/>
                <w:kern w:val="32"/>
                <w:szCs w:val="24"/>
                <w:lang w:val="en-US"/>
              </w:rPr>
            </w:pPr>
            <w:r>
              <w:rPr>
                <w:rFonts w:eastAsia="Times New Roman"/>
                <w:bCs/>
                <w:kern w:val="32"/>
                <w:szCs w:val="24"/>
                <w:lang w:val="en-US"/>
              </w:rPr>
              <w:t>9.50%</w:t>
            </w:r>
          </w:p>
        </w:tc>
      </w:tr>
      <w:tr w:rsidR="00734B17" w:rsidRPr="00F972D7" w:rsidTr="00734B17">
        <w:trPr>
          <w:trHeight w:val="170"/>
          <w:jc w:val="center"/>
        </w:trPr>
        <w:tc>
          <w:tcPr>
            <w:tcW w:w="2279" w:type="pct"/>
            <w:shd w:val="clear" w:color="auto" w:fill="auto"/>
            <w:noWrap/>
            <w:vAlign w:val="center"/>
            <w:hideMark/>
          </w:tcPr>
          <w:p w:rsidR="00734B17" w:rsidRPr="00F972D7" w:rsidRDefault="00734B17" w:rsidP="008C7FFB">
            <w:pPr>
              <w:widowControl w:val="0"/>
              <w:spacing w:line="276" w:lineRule="auto"/>
              <w:ind w:left="113"/>
              <w:rPr>
                <w:rFonts w:eastAsia="Times New Roman"/>
                <w:szCs w:val="24"/>
                <w:lang w:val="en-US"/>
              </w:rPr>
            </w:pPr>
            <w:r w:rsidRPr="00F972D7">
              <w:rPr>
                <w:rFonts w:eastAsia="Times New Roman"/>
                <w:szCs w:val="24"/>
                <w:lang w:val="en-US"/>
              </w:rPr>
              <w:t>Gross Station Heat Rate</w:t>
            </w:r>
          </w:p>
        </w:tc>
        <w:tc>
          <w:tcPr>
            <w:tcW w:w="1364" w:type="pct"/>
            <w:shd w:val="clear" w:color="auto" w:fill="auto"/>
            <w:noWrap/>
            <w:vAlign w:val="center"/>
            <w:hideMark/>
          </w:tcPr>
          <w:p w:rsidR="00734B17" w:rsidRPr="00F972D7" w:rsidRDefault="00734B17" w:rsidP="008C7FFB">
            <w:pPr>
              <w:widowControl w:val="0"/>
              <w:spacing w:line="276" w:lineRule="auto"/>
              <w:ind w:left="113"/>
              <w:jc w:val="center"/>
              <w:rPr>
                <w:rFonts w:eastAsia="Times New Roman"/>
                <w:szCs w:val="24"/>
                <w:lang w:val="en-US"/>
              </w:rPr>
            </w:pPr>
            <w:r w:rsidRPr="00F972D7">
              <w:rPr>
                <w:rFonts w:eastAsia="Times New Roman"/>
                <w:szCs w:val="24"/>
                <w:lang w:val="en-US"/>
              </w:rPr>
              <w:t>kCal/kWh</w:t>
            </w:r>
          </w:p>
        </w:tc>
        <w:tc>
          <w:tcPr>
            <w:tcW w:w="1357" w:type="pct"/>
            <w:shd w:val="clear" w:color="auto" w:fill="auto"/>
            <w:noWrap/>
            <w:vAlign w:val="center"/>
          </w:tcPr>
          <w:p w:rsidR="00734B17" w:rsidRPr="00F972D7" w:rsidRDefault="00734B17" w:rsidP="008C7FFB">
            <w:pPr>
              <w:widowControl w:val="0"/>
              <w:spacing w:line="276" w:lineRule="auto"/>
              <w:jc w:val="center"/>
              <w:rPr>
                <w:rFonts w:eastAsia="Times New Roman"/>
                <w:szCs w:val="24"/>
                <w:lang w:val="en-US"/>
              </w:rPr>
            </w:pPr>
            <w:r>
              <w:rPr>
                <w:rFonts w:eastAsia="Times New Roman"/>
                <w:szCs w:val="24"/>
                <w:lang w:val="en-US"/>
              </w:rPr>
              <w:t>2500</w:t>
            </w:r>
          </w:p>
        </w:tc>
      </w:tr>
      <w:tr w:rsidR="00734B17" w:rsidRPr="00F972D7" w:rsidTr="00734B17">
        <w:trPr>
          <w:trHeight w:val="170"/>
          <w:jc w:val="center"/>
        </w:trPr>
        <w:tc>
          <w:tcPr>
            <w:tcW w:w="2279" w:type="pct"/>
            <w:shd w:val="clear" w:color="auto" w:fill="auto"/>
            <w:noWrap/>
            <w:vAlign w:val="center"/>
            <w:hideMark/>
          </w:tcPr>
          <w:p w:rsidR="00734B17" w:rsidRPr="00F972D7" w:rsidRDefault="00734B17" w:rsidP="008C7FFB">
            <w:pPr>
              <w:widowControl w:val="0"/>
              <w:spacing w:line="276" w:lineRule="auto"/>
              <w:ind w:left="113"/>
              <w:rPr>
                <w:rFonts w:eastAsia="Times New Roman"/>
                <w:szCs w:val="24"/>
                <w:lang w:val="en-US"/>
              </w:rPr>
            </w:pPr>
            <w:r w:rsidRPr="00F972D7">
              <w:rPr>
                <w:rFonts w:eastAsia="Times New Roman"/>
                <w:szCs w:val="24"/>
                <w:lang w:val="en-US"/>
              </w:rPr>
              <w:t>GCV of Coal</w:t>
            </w:r>
          </w:p>
        </w:tc>
        <w:tc>
          <w:tcPr>
            <w:tcW w:w="1364" w:type="pct"/>
            <w:shd w:val="clear" w:color="auto" w:fill="auto"/>
            <w:noWrap/>
            <w:vAlign w:val="center"/>
            <w:hideMark/>
          </w:tcPr>
          <w:p w:rsidR="00734B17" w:rsidRPr="00F972D7" w:rsidRDefault="00734B17" w:rsidP="008C7FFB">
            <w:pPr>
              <w:widowControl w:val="0"/>
              <w:spacing w:line="276" w:lineRule="auto"/>
              <w:ind w:left="113"/>
              <w:jc w:val="center"/>
              <w:rPr>
                <w:rFonts w:eastAsia="Times New Roman"/>
                <w:szCs w:val="24"/>
                <w:lang w:val="en-US"/>
              </w:rPr>
            </w:pPr>
            <w:r w:rsidRPr="00F972D7">
              <w:rPr>
                <w:rFonts w:eastAsia="Times New Roman"/>
                <w:szCs w:val="24"/>
                <w:lang w:val="en-US"/>
              </w:rPr>
              <w:t>kCal/kg</w:t>
            </w:r>
          </w:p>
        </w:tc>
        <w:tc>
          <w:tcPr>
            <w:tcW w:w="1357" w:type="pct"/>
            <w:shd w:val="clear" w:color="auto" w:fill="auto"/>
            <w:noWrap/>
          </w:tcPr>
          <w:p w:rsidR="00734B17" w:rsidRPr="00F972D7" w:rsidRDefault="00684987" w:rsidP="008C7FFB">
            <w:pPr>
              <w:widowControl w:val="0"/>
              <w:spacing w:line="276" w:lineRule="auto"/>
              <w:jc w:val="center"/>
              <w:rPr>
                <w:rFonts w:eastAsia="Times New Roman"/>
                <w:szCs w:val="24"/>
                <w:lang w:val="en-US"/>
              </w:rPr>
            </w:pPr>
            <w:r>
              <w:rPr>
                <w:rFonts w:eastAsia="Times New Roman"/>
                <w:szCs w:val="24"/>
                <w:lang w:val="en-US"/>
              </w:rPr>
              <w:t>2972</w:t>
            </w:r>
          </w:p>
        </w:tc>
      </w:tr>
      <w:tr w:rsidR="00734B17" w:rsidRPr="00F972D7" w:rsidTr="00734B17">
        <w:trPr>
          <w:trHeight w:val="170"/>
          <w:jc w:val="center"/>
        </w:trPr>
        <w:tc>
          <w:tcPr>
            <w:tcW w:w="2279" w:type="pct"/>
            <w:shd w:val="clear" w:color="auto" w:fill="auto"/>
            <w:noWrap/>
            <w:vAlign w:val="center"/>
            <w:hideMark/>
          </w:tcPr>
          <w:p w:rsidR="00734B17" w:rsidRPr="00F972D7" w:rsidDel="00A62F1D" w:rsidRDefault="00734B17" w:rsidP="008C7FFB">
            <w:pPr>
              <w:widowControl w:val="0"/>
              <w:spacing w:line="276" w:lineRule="auto"/>
              <w:ind w:left="113"/>
              <w:rPr>
                <w:rFonts w:eastAsia="Times New Roman"/>
                <w:szCs w:val="24"/>
                <w:lang w:val="en-US"/>
              </w:rPr>
            </w:pPr>
            <w:r w:rsidRPr="00F972D7">
              <w:rPr>
                <w:rFonts w:eastAsia="Times New Roman"/>
                <w:szCs w:val="24"/>
                <w:lang w:val="en-US"/>
              </w:rPr>
              <w:t>GCV of Oil</w:t>
            </w:r>
          </w:p>
        </w:tc>
        <w:tc>
          <w:tcPr>
            <w:tcW w:w="1364" w:type="pct"/>
            <w:shd w:val="clear" w:color="auto" w:fill="auto"/>
            <w:noWrap/>
            <w:vAlign w:val="center"/>
            <w:hideMark/>
          </w:tcPr>
          <w:p w:rsidR="00734B17" w:rsidRPr="00F972D7" w:rsidRDefault="00734B17" w:rsidP="008C7FFB">
            <w:pPr>
              <w:widowControl w:val="0"/>
              <w:spacing w:line="276" w:lineRule="auto"/>
              <w:ind w:left="113"/>
              <w:jc w:val="center"/>
              <w:rPr>
                <w:rFonts w:eastAsia="Times New Roman"/>
                <w:szCs w:val="24"/>
                <w:lang w:val="en-US"/>
              </w:rPr>
            </w:pPr>
            <w:r w:rsidRPr="00F972D7">
              <w:rPr>
                <w:rFonts w:eastAsia="Times New Roman"/>
                <w:szCs w:val="24"/>
                <w:lang w:val="en-US"/>
              </w:rPr>
              <w:t>kCal/kg</w:t>
            </w:r>
          </w:p>
        </w:tc>
        <w:tc>
          <w:tcPr>
            <w:tcW w:w="1357" w:type="pct"/>
            <w:shd w:val="clear" w:color="auto" w:fill="auto"/>
            <w:noWrap/>
          </w:tcPr>
          <w:p w:rsidR="00734B17" w:rsidRPr="00F972D7" w:rsidDel="00A62F1D" w:rsidRDefault="00734B17" w:rsidP="008C7FFB">
            <w:pPr>
              <w:widowControl w:val="0"/>
              <w:spacing w:line="276" w:lineRule="auto"/>
              <w:jc w:val="center"/>
              <w:rPr>
                <w:rFonts w:eastAsia="Times New Roman"/>
                <w:szCs w:val="24"/>
                <w:lang w:val="en-US"/>
              </w:rPr>
            </w:pPr>
            <w:r>
              <w:rPr>
                <w:rFonts w:eastAsia="Times New Roman"/>
                <w:szCs w:val="24"/>
                <w:lang w:val="en-US"/>
              </w:rPr>
              <w:t>10000</w:t>
            </w:r>
          </w:p>
        </w:tc>
      </w:tr>
      <w:tr w:rsidR="00734B17" w:rsidRPr="00F972D7" w:rsidTr="00734B17">
        <w:trPr>
          <w:trHeight w:val="170"/>
          <w:jc w:val="center"/>
        </w:trPr>
        <w:tc>
          <w:tcPr>
            <w:tcW w:w="2279" w:type="pct"/>
            <w:shd w:val="clear" w:color="auto" w:fill="auto"/>
            <w:noWrap/>
            <w:vAlign w:val="center"/>
            <w:hideMark/>
          </w:tcPr>
          <w:p w:rsidR="00734B17" w:rsidRPr="00F972D7" w:rsidRDefault="00734B17" w:rsidP="008C7FFB">
            <w:pPr>
              <w:widowControl w:val="0"/>
              <w:spacing w:line="276" w:lineRule="auto"/>
              <w:ind w:left="113"/>
              <w:rPr>
                <w:rFonts w:eastAsia="Times New Roman"/>
                <w:szCs w:val="24"/>
                <w:lang w:val="en-US"/>
              </w:rPr>
            </w:pPr>
            <w:r w:rsidRPr="00F972D7">
              <w:rPr>
                <w:rFonts w:eastAsia="Times New Roman"/>
                <w:szCs w:val="24"/>
                <w:lang w:val="en-US"/>
              </w:rPr>
              <w:t>Specific Coal Consumption</w:t>
            </w:r>
          </w:p>
        </w:tc>
        <w:tc>
          <w:tcPr>
            <w:tcW w:w="1364" w:type="pct"/>
            <w:shd w:val="clear" w:color="auto" w:fill="auto"/>
            <w:noWrap/>
            <w:vAlign w:val="center"/>
            <w:hideMark/>
          </w:tcPr>
          <w:p w:rsidR="00734B17" w:rsidRPr="00F972D7" w:rsidRDefault="00734B17" w:rsidP="008C7FFB">
            <w:pPr>
              <w:widowControl w:val="0"/>
              <w:spacing w:line="276" w:lineRule="auto"/>
              <w:ind w:left="113"/>
              <w:jc w:val="center"/>
              <w:rPr>
                <w:rFonts w:eastAsia="Times New Roman"/>
                <w:szCs w:val="24"/>
                <w:lang w:val="en-US"/>
              </w:rPr>
            </w:pPr>
            <w:r w:rsidRPr="00F972D7">
              <w:rPr>
                <w:rFonts w:eastAsia="Times New Roman"/>
                <w:szCs w:val="24"/>
                <w:lang w:val="en-US"/>
              </w:rPr>
              <w:t>kg /kWh</w:t>
            </w:r>
          </w:p>
        </w:tc>
        <w:tc>
          <w:tcPr>
            <w:tcW w:w="1357" w:type="pct"/>
            <w:shd w:val="clear" w:color="auto" w:fill="auto"/>
            <w:noWrap/>
            <w:vAlign w:val="center"/>
          </w:tcPr>
          <w:p w:rsidR="00734B17" w:rsidRPr="00F972D7" w:rsidRDefault="00684987" w:rsidP="008C7FFB">
            <w:pPr>
              <w:widowControl w:val="0"/>
              <w:spacing w:line="276" w:lineRule="auto"/>
              <w:jc w:val="center"/>
              <w:rPr>
                <w:rFonts w:eastAsia="Times New Roman"/>
                <w:szCs w:val="24"/>
                <w:lang w:val="en-US"/>
              </w:rPr>
            </w:pPr>
            <w:r>
              <w:rPr>
                <w:rFonts w:eastAsia="Times New Roman"/>
                <w:szCs w:val="24"/>
                <w:lang w:val="en-US"/>
              </w:rPr>
              <w:t>0.83</w:t>
            </w:r>
          </w:p>
        </w:tc>
      </w:tr>
      <w:tr w:rsidR="00734B17" w:rsidRPr="00F972D7" w:rsidTr="00734B17">
        <w:trPr>
          <w:trHeight w:val="64"/>
          <w:jc w:val="center"/>
        </w:trPr>
        <w:tc>
          <w:tcPr>
            <w:tcW w:w="2279" w:type="pct"/>
            <w:shd w:val="clear" w:color="auto" w:fill="auto"/>
            <w:noWrap/>
            <w:vAlign w:val="center"/>
            <w:hideMark/>
          </w:tcPr>
          <w:p w:rsidR="00734B17" w:rsidRPr="00F972D7" w:rsidRDefault="00734B17" w:rsidP="008C7FFB">
            <w:pPr>
              <w:widowControl w:val="0"/>
              <w:spacing w:line="276" w:lineRule="auto"/>
              <w:ind w:left="113"/>
              <w:rPr>
                <w:rFonts w:eastAsia="Times New Roman"/>
                <w:szCs w:val="24"/>
                <w:lang w:val="en-US"/>
              </w:rPr>
            </w:pPr>
            <w:r w:rsidRPr="00F972D7">
              <w:rPr>
                <w:rFonts w:eastAsia="Times New Roman"/>
                <w:szCs w:val="24"/>
                <w:lang w:val="en-US"/>
              </w:rPr>
              <w:t>Specific Oil Consumption</w:t>
            </w:r>
            <w:r>
              <w:rPr>
                <w:rFonts w:eastAsia="Times New Roman"/>
                <w:szCs w:val="24"/>
                <w:lang w:val="en-US"/>
              </w:rPr>
              <w:t>-LDO</w:t>
            </w:r>
          </w:p>
        </w:tc>
        <w:tc>
          <w:tcPr>
            <w:tcW w:w="1364" w:type="pct"/>
            <w:shd w:val="clear" w:color="auto" w:fill="auto"/>
            <w:noWrap/>
            <w:vAlign w:val="center"/>
            <w:hideMark/>
          </w:tcPr>
          <w:p w:rsidR="00734B17" w:rsidRPr="00F972D7" w:rsidRDefault="00734B17" w:rsidP="008C7FFB">
            <w:pPr>
              <w:widowControl w:val="0"/>
              <w:spacing w:line="276" w:lineRule="auto"/>
              <w:ind w:left="113"/>
              <w:jc w:val="center"/>
              <w:rPr>
                <w:rFonts w:eastAsia="Times New Roman"/>
                <w:szCs w:val="24"/>
                <w:lang w:val="en-US"/>
              </w:rPr>
            </w:pPr>
            <w:r w:rsidRPr="00F972D7">
              <w:rPr>
                <w:rFonts w:eastAsia="Times New Roman"/>
                <w:szCs w:val="24"/>
                <w:lang w:val="en-US"/>
              </w:rPr>
              <w:t>ml/kWh</w:t>
            </w:r>
          </w:p>
        </w:tc>
        <w:tc>
          <w:tcPr>
            <w:tcW w:w="1357" w:type="pct"/>
            <w:shd w:val="clear" w:color="auto" w:fill="auto"/>
            <w:noWrap/>
            <w:vAlign w:val="center"/>
          </w:tcPr>
          <w:p w:rsidR="00734B17" w:rsidRPr="00F972D7" w:rsidRDefault="00734B17" w:rsidP="008C7FFB">
            <w:pPr>
              <w:widowControl w:val="0"/>
              <w:spacing w:line="276" w:lineRule="auto"/>
              <w:jc w:val="center"/>
              <w:rPr>
                <w:rFonts w:eastAsia="Times New Roman"/>
                <w:bCs/>
                <w:kern w:val="32"/>
                <w:szCs w:val="24"/>
                <w:lang w:val="en-US"/>
              </w:rPr>
            </w:pPr>
            <w:r>
              <w:rPr>
                <w:rFonts w:eastAsia="Times New Roman"/>
                <w:bCs/>
                <w:kern w:val="32"/>
                <w:szCs w:val="24"/>
                <w:lang w:val="en-US"/>
              </w:rPr>
              <w:t>0.35</w:t>
            </w:r>
          </w:p>
        </w:tc>
      </w:tr>
      <w:tr w:rsidR="00734B17" w:rsidRPr="00F972D7" w:rsidTr="00734B17">
        <w:trPr>
          <w:trHeight w:val="64"/>
          <w:jc w:val="center"/>
        </w:trPr>
        <w:tc>
          <w:tcPr>
            <w:tcW w:w="2279" w:type="pct"/>
            <w:shd w:val="clear" w:color="auto" w:fill="auto"/>
            <w:noWrap/>
            <w:vAlign w:val="center"/>
          </w:tcPr>
          <w:p w:rsidR="00734B17" w:rsidRPr="00F972D7" w:rsidRDefault="00734B17" w:rsidP="008C7FFB">
            <w:pPr>
              <w:widowControl w:val="0"/>
              <w:spacing w:line="276" w:lineRule="auto"/>
              <w:ind w:left="113"/>
              <w:rPr>
                <w:rFonts w:eastAsia="Times New Roman"/>
                <w:szCs w:val="24"/>
                <w:lang w:val="en-US"/>
              </w:rPr>
            </w:pPr>
            <w:r w:rsidRPr="00F972D7">
              <w:rPr>
                <w:rFonts w:eastAsia="Times New Roman"/>
                <w:szCs w:val="24"/>
                <w:lang w:val="en-US"/>
              </w:rPr>
              <w:t>Specific Oil Consumption</w:t>
            </w:r>
            <w:r>
              <w:rPr>
                <w:rFonts w:eastAsia="Times New Roman"/>
                <w:szCs w:val="24"/>
                <w:lang w:val="en-US"/>
              </w:rPr>
              <w:t>-HFO</w:t>
            </w:r>
          </w:p>
        </w:tc>
        <w:tc>
          <w:tcPr>
            <w:tcW w:w="1364" w:type="pct"/>
            <w:shd w:val="clear" w:color="auto" w:fill="auto"/>
            <w:noWrap/>
            <w:vAlign w:val="center"/>
          </w:tcPr>
          <w:p w:rsidR="00734B17" w:rsidRPr="00F972D7" w:rsidRDefault="00734B17" w:rsidP="008C7FFB">
            <w:pPr>
              <w:widowControl w:val="0"/>
              <w:spacing w:line="276" w:lineRule="auto"/>
              <w:ind w:left="113"/>
              <w:jc w:val="center"/>
              <w:rPr>
                <w:rFonts w:eastAsia="Times New Roman"/>
                <w:szCs w:val="24"/>
                <w:lang w:val="en-US"/>
              </w:rPr>
            </w:pPr>
            <w:r>
              <w:rPr>
                <w:rFonts w:eastAsia="Times New Roman"/>
                <w:szCs w:val="24"/>
                <w:lang w:val="en-US"/>
              </w:rPr>
              <w:t>ml/kWh</w:t>
            </w:r>
          </w:p>
        </w:tc>
        <w:tc>
          <w:tcPr>
            <w:tcW w:w="1357" w:type="pct"/>
            <w:shd w:val="clear" w:color="auto" w:fill="auto"/>
            <w:noWrap/>
            <w:vAlign w:val="center"/>
          </w:tcPr>
          <w:p w:rsidR="00734B17" w:rsidRDefault="00734B17" w:rsidP="008C7FFB">
            <w:pPr>
              <w:widowControl w:val="0"/>
              <w:spacing w:line="276" w:lineRule="auto"/>
              <w:jc w:val="center"/>
              <w:rPr>
                <w:rFonts w:eastAsia="Times New Roman"/>
                <w:bCs/>
                <w:kern w:val="32"/>
                <w:szCs w:val="24"/>
                <w:lang w:val="en-US"/>
              </w:rPr>
            </w:pPr>
            <w:r>
              <w:rPr>
                <w:rFonts w:eastAsia="Times New Roman"/>
                <w:bCs/>
                <w:kern w:val="32"/>
                <w:szCs w:val="24"/>
                <w:lang w:val="en-US"/>
              </w:rPr>
              <w:t>3.15</w:t>
            </w:r>
          </w:p>
        </w:tc>
      </w:tr>
      <w:tr w:rsidR="00734B17" w:rsidRPr="00F972D7" w:rsidTr="00734B17">
        <w:trPr>
          <w:trHeight w:val="170"/>
          <w:jc w:val="center"/>
        </w:trPr>
        <w:tc>
          <w:tcPr>
            <w:tcW w:w="2279" w:type="pct"/>
            <w:shd w:val="clear" w:color="auto" w:fill="auto"/>
            <w:noWrap/>
            <w:vAlign w:val="center"/>
            <w:hideMark/>
          </w:tcPr>
          <w:p w:rsidR="00734B17" w:rsidRPr="00F972D7" w:rsidRDefault="00734B17" w:rsidP="008C7FFB">
            <w:pPr>
              <w:widowControl w:val="0"/>
              <w:spacing w:line="276" w:lineRule="auto"/>
              <w:ind w:left="113"/>
              <w:rPr>
                <w:rFonts w:eastAsia="Times New Roman"/>
                <w:szCs w:val="24"/>
                <w:lang w:val="en-US"/>
              </w:rPr>
            </w:pPr>
            <w:r w:rsidRPr="00F972D7">
              <w:rPr>
                <w:rFonts w:eastAsia="Times New Roman"/>
                <w:szCs w:val="24"/>
                <w:lang w:val="en-US"/>
              </w:rPr>
              <w:t>Price of Coal</w:t>
            </w:r>
          </w:p>
        </w:tc>
        <w:tc>
          <w:tcPr>
            <w:tcW w:w="1364" w:type="pct"/>
            <w:shd w:val="clear" w:color="auto" w:fill="auto"/>
            <w:noWrap/>
            <w:vAlign w:val="center"/>
            <w:hideMark/>
          </w:tcPr>
          <w:p w:rsidR="00734B17" w:rsidRPr="00F972D7" w:rsidRDefault="00734B17" w:rsidP="008C7FFB">
            <w:pPr>
              <w:widowControl w:val="0"/>
              <w:spacing w:line="276" w:lineRule="auto"/>
              <w:ind w:left="113"/>
              <w:jc w:val="center"/>
              <w:rPr>
                <w:rFonts w:eastAsia="Times New Roman"/>
                <w:szCs w:val="24"/>
                <w:lang w:val="en-US"/>
              </w:rPr>
            </w:pPr>
            <w:r w:rsidRPr="00F972D7">
              <w:rPr>
                <w:rFonts w:eastAsia="Times New Roman"/>
                <w:szCs w:val="24"/>
                <w:lang w:val="en-US"/>
              </w:rPr>
              <w:t>Rs. / MT</w:t>
            </w:r>
          </w:p>
        </w:tc>
        <w:tc>
          <w:tcPr>
            <w:tcW w:w="1357" w:type="pct"/>
            <w:shd w:val="clear" w:color="auto" w:fill="auto"/>
            <w:noWrap/>
          </w:tcPr>
          <w:p w:rsidR="00734B17" w:rsidRPr="00313580" w:rsidRDefault="0081235B" w:rsidP="008C7FFB">
            <w:pPr>
              <w:widowControl w:val="0"/>
              <w:spacing w:line="276" w:lineRule="auto"/>
              <w:jc w:val="center"/>
              <w:rPr>
                <w:rFonts w:eastAsia="Times New Roman"/>
                <w:bCs/>
                <w:kern w:val="32"/>
                <w:szCs w:val="24"/>
                <w:lang w:val="en-US"/>
              </w:rPr>
            </w:pPr>
            <w:r w:rsidRPr="00313580">
              <w:rPr>
                <w:rFonts w:eastAsia="Times New Roman"/>
                <w:bCs/>
                <w:kern w:val="32"/>
                <w:szCs w:val="24"/>
                <w:lang w:val="en-US"/>
              </w:rPr>
              <w:t>1600</w:t>
            </w:r>
            <w:r w:rsidR="00313580">
              <w:rPr>
                <w:rFonts w:eastAsia="Times New Roman"/>
                <w:bCs/>
                <w:kern w:val="32"/>
                <w:szCs w:val="24"/>
                <w:lang w:val="en-US"/>
              </w:rPr>
              <w:t>.13</w:t>
            </w:r>
          </w:p>
        </w:tc>
      </w:tr>
      <w:tr w:rsidR="00734B17" w:rsidRPr="00F972D7" w:rsidTr="00734B17">
        <w:trPr>
          <w:trHeight w:val="170"/>
          <w:jc w:val="center"/>
        </w:trPr>
        <w:tc>
          <w:tcPr>
            <w:tcW w:w="2279" w:type="pct"/>
            <w:shd w:val="clear" w:color="auto" w:fill="auto"/>
            <w:noWrap/>
            <w:vAlign w:val="center"/>
            <w:hideMark/>
          </w:tcPr>
          <w:p w:rsidR="00734B17" w:rsidRPr="00F972D7" w:rsidRDefault="00734B17" w:rsidP="008C7FFB">
            <w:pPr>
              <w:widowControl w:val="0"/>
              <w:spacing w:line="276" w:lineRule="auto"/>
              <w:ind w:left="113"/>
              <w:rPr>
                <w:rFonts w:eastAsia="Times New Roman"/>
                <w:szCs w:val="24"/>
                <w:lang w:val="en-US"/>
              </w:rPr>
            </w:pPr>
            <w:r w:rsidRPr="00F972D7">
              <w:rPr>
                <w:rFonts w:eastAsia="Times New Roman"/>
                <w:szCs w:val="24"/>
                <w:lang w:val="en-US"/>
              </w:rPr>
              <w:t>Price of Secondary Oil</w:t>
            </w:r>
            <w:r>
              <w:rPr>
                <w:rFonts w:eastAsia="Times New Roman"/>
                <w:szCs w:val="24"/>
                <w:lang w:val="en-US"/>
              </w:rPr>
              <w:t>-LDO</w:t>
            </w:r>
          </w:p>
        </w:tc>
        <w:tc>
          <w:tcPr>
            <w:tcW w:w="1364" w:type="pct"/>
            <w:shd w:val="clear" w:color="auto" w:fill="auto"/>
            <w:noWrap/>
            <w:vAlign w:val="center"/>
            <w:hideMark/>
          </w:tcPr>
          <w:p w:rsidR="00734B17" w:rsidRPr="00F972D7" w:rsidRDefault="00734B17" w:rsidP="008C7FFB">
            <w:pPr>
              <w:widowControl w:val="0"/>
              <w:spacing w:line="276" w:lineRule="auto"/>
              <w:ind w:left="113"/>
              <w:jc w:val="center"/>
              <w:rPr>
                <w:rFonts w:eastAsia="Times New Roman"/>
                <w:szCs w:val="24"/>
                <w:lang w:val="en-US"/>
              </w:rPr>
            </w:pPr>
            <w:r w:rsidRPr="00F972D7">
              <w:rPr>
                <w:rFonts w:eastAsia="Times New Roman"/>
                <w:szCs w:val="24"/>
                <w:lang w:val="en-US"/>
              </w:rPr>
              <w:t xml:space="preserve">Rs. / </w:t>
            </w:r>
            <w:r>
              <w:rPr>
                <w:rFonts w:eastAsia="Times New Roman"/>
                <w:szCs w:val="24"/>
                <w:lang w:val="en-US"/>
              </w:rPr>
              <w:t>kL</w:t>
            </w:r>
          </w:p>
        </w:tc>
        <w:tc>
          <w:tcPr>
            <w:tcW w:w="1357" w:type="pct"/>
            <w:shd w:val="clear" w:color="auto" w:fill="auto"/>
            <w:noWrap/>
          </w:tcPr>
          <w:p w:rsidR="00734B17" w:rsidRPr="00313580" w:rsidRDefault="00684987" w:rsidP="008C7FFB">
            <w:pPr>
              <w:widowControl w:val="0"/>
              <w:spacing w:line="276" w:lineRule="auto"/>
              <w:jc w:val="center"/>
              <w:rPr>
                <w:rFonts w:eastAsia="Times New Roman"/>
                <w:bCs/>
                <w:kern w:val="32"/>
                <w:szCs w:val="24"/>
                <w:lang w:val="en-US"/>
              </w:rPr>
            </w:pPr>
            <w:r w:rsidRPr="00313580">
              <w:rPr>
                <w:rFonts w:eastAsia="Times New Roman"/>
                <w:bCs/>
                <w:kern w:val="32"/>
                <w:szCs w:val="24"/>
                <w:lang w:val="en-US"/>
              </w:rPr>
              <w:t>48291</w:t>
            </w:r>
          </w:p>
        </w:tc>
      </w:tr>
      <w:tr w:rsidR="00734B17" w:rsidRPr="00F972D7" w:rsidTr="00734B17">
        <w:trPr>
          <w:trHeight w:val="170"/>
          <w:jc w:val="center"/>
        </w:trPr>
        <w:tc>
          <w:tcPr>
            <w:tcW w:w="2279" w:type="pct"/>
            <w:shd w:val="clear" w:color="auto" w:fill="auto"/>
            <w:noWrap/>
            <w:vAlign w:val="center"/>
          </w:tcPr>
          <w:p w:rsidR="00734B17" w:rsidRPr="00F972D7" w:rsidRDefault="00734B17" w:rsidP="008C7FFB">
            <w:pPr>
              <w:widowControl w:val="0"/>
              <w:spacing w:line="276" w:lineRule="auto"/>
              <w:ind w:left="113"/>
              <w:rPr>
                <w:rFonts w:eastAsia="Times New Roman"/>
                <w:szCs w:val="24"/>
                <w:lang w:val="en-US"/>
              </w:rPr>
            </w:pPr>
            <w:r w:rsidRPr="00F972D7">
              <w:rPr>
                <w:rFonts w:eastAsia="Times New Roman"/>
                <w:szCs w:val="24"/>
                <w:lang w:val="en-US"/>
              </w:rPr>
              <w:t>Price of Secondary Oil</w:t>
            </w:r>
            <w:r>
              <w:rPr>
                <w:rFonts w:eastAsia="Times New Roman"/>
                <w:szCs w:val="24"/>
                <w:lang w:val="en-US"/>
              </w:rPr>
              <w:t>-HFO</w:t>
            </w:r>
          </w:p>
        </w:tc>
        <w:tc>
          <w:tcPr>
            <w:tcW w:w="1364" w:type="pct"/>
            <w:shd w:val="clear" w:color="auto" w:fill="auto"/>
            <w:noWrap/>
            <w:vAlign w:val="center"/>
          </w:tcPr>
          <w:p w:rsidR="00734B17" w:rsidRPr="00F972D7" w:rsidRDefault="00734B17" w:rsidP="008C7FFB">
            <w:pPr>
              <w:widowControl w:val="0"/>
              <w:spacing w:line="276" w:lineRule="auto"/>
              <w:ind w:left="113"/>
              <w:jc w:val="center"/>
              <w:rPr>
                <w:rFonts w:eastAsia="Times New Roman"/>
                <w:szCs w:val="24"/>
                <w:lang w:val="en-US"/>
              </w:rPr>
            </w:pPr>
            <w:r>
              <w:rPr>
                <w:rFonts w:eastAsia="Times New Roman"/>
                <w:szCs w:val="24"/>
                <w:lang w:val="en-US"/>
              </w:rPr>
              <w:t>Rs. / kL</w:t>
            </w:r>
          </w:p>
        </w:tc>
        <w:tc>
          <w:tcPr>
            <w:tcW w:w="1357" w:type="pct"/>
            <w:shd w:val="clear" w:color="auto" w:fill="auto"/>
            <w:noWrap/>
          </w:tcPr>
          <w:p w:rsidR="00734B17" w:rsidRPr="00313580" w:rsidRDefault="00A7790B" w:rsidP="008C7FFB">
            <w:pPr>
              <w:widowControl w:val="0"/>
              <w:spacing w:line="276" w:lineRule="auto"/>
              <w:jc w:val="center"/>
              <w:rPr>
                <w:rFonts w:eastAsia="Times New Roman"/>
                <w:szCs w:val="24"/>
                <w:lang w:val="en-US"/>
              </w:rPr>
            </w:pPr>
            <w:r w:rsidRPr="00313580">
              <w:rPr>
                <w:rFonts w:eastAsia="Times New Roman"/>
                <w:szCs w:val="24"/>
                <w:lang w:val="en-US"/>
              </w:rPr>
              <w:t>40826</w:t>
            </w:r>
          </w:p>
        </w:tc>
      </w:tr>
      <w:tr w:rsidR="00734B17" w:rsidRPr="00F972D7" w:rsidTr="00734B17">
        <w:trPr>
          <w:trHeight w:val="170"/>
          <w:jc w:val="center"/>
        </w:trPr>
        <w:tc>
          <w:tcPr>
            <w:tcW w:w="2279" w:type="pct"/>
            <w:shd w:val="clear" w:color="auto" w:fill="auto"/>
            <w:noWrap/>
            <w:vAlign w:val="center"/>
            <w:hideMark/>
          </w:tcPr>
          <w:p w:rsidR="00734B17" w:rsidRPr="00F972D7" w:rsidRDefault="00684987" w:rsidP="008C7FFB">
            <w:pPr>
              <w:widowControl w:val="0"/>
              <w:spacing w:line="276" w:lineRule="auto"/>
              <w:ind w:left="113"/>
              <w:rPr>
                <w:rFonts w:eastAsia="Times New Roman"/>
                <w:szCs w:val="24"/>
                <w:lang w:val="en-US"/>
              </w:rPr>
            </w:pPr>
            <w:r>
              <w:rPr>
                <w:rFonts w:eastAsia="Times New Roman"/>
                <w:szCs w:val="24"/>
                <w:lang w:val="en-US"/>
              </w:rPr>
              <w:t>Variable Charges per kWh</w:t>
            </w:r>
            <w:r w:rsidR="0078675E">
              <w:rPr>
                <w:rFonts w:eastAsia="Times New Roman"/>
                <w:szCs w:val="24"/>
                <w:lang w:val="en-US"/>
              </w:rPr>
              <w:t>(</w:t>
            </w:r>
            <w:r w:rsidR="00AF5082">
              <w:rPr>
                <w:rFonts w:eastAsia="Times New Roman"/>
                <w:szCs w:val="24"/>
                <w:lang w:val="en-US"/>
              </w:rPr>
              <w:t>b</w:t>
            </w:r>
            <w:r w:rsidR="0078675E">
              <w:rPr>
                <w:rFonts w:eastAsia="Times New Roman"/>
                <w:szCs w:val="24"/>
                <w:lang w:val="en-US"/>
              </w:rPr>
              <w:t>ase</w:t>
            </w:r>
            <w:r w:rsidR="00AF5082">
              <w:rPr>
                <w:rFonts w:eastAsia="Times New Roman"/>
                <w:szCs w:val="24"/>
                <w:lang w:val="en-US"/>
              </w:rPr>
              <w:t xml:space="preserve"> value</w:t>
            </w:r>
            <w:r w:rsidR="0078675E">
              <w:rPr>
                <w:rFonts w:eastAsia="Times New Roman"/>
                <w:szCs w:val="24"/>
                <w:lang w:val="en-US"/>
              </w:rPr>
              <w:t>)</w:t>
            </w:r>
          </w:p>
        </w:tc>
        <w:tc>
          <w:tcPr>
            <w:tcW w:w="1364" w:type="pct"/>
            <w:shd w:val="clear" w:color="auto" w:fill="auto"/>
            <w:noWrap/>
            <w:vAlign w:val="center"/>
            <w:hideMark/>
          </w:tcPr>
          <w:p w:rsidR="00734B17" w:rsidRPr="00F972D7" w:rsidRDefault="00734B17" w:rsidP="008C7FFB">
            <w:pPr>
              <w:widowControl w:val="0"/>
              <w:spacing w:line="276" w:lineRule="auto"/>
              <w:ind w:left="113"/>
              <w:jc w:val="center"/>
              <w:rPr>
                <w:rFonts w:eastAsia="Times New Roman"/>
                <w:szCs w:val="24"/>
                <w:lang w:val="en-US"/>
              </w:rPr>
            </w:pPr>
            <w:r>
              <w:rPr>
                <w:rFonts w:eastAsia="Times New Roman"/>
                <w:szCs w:val="24"/>
                <w:lang w:val="en-US"/>
              </w:rPr>
              <w:t>Paisa</w:t>
            </w:r>
            <w:r w:rsidRPr="00F972D7">
              <w:rPr>
                <w:rFonts w:eastAsia="Times New Roman"/>
                <w:szCs w:val="24"/>
                <w:lang w:val="en-US"/>
              </w:rPr>
              <w:t>/kWh</w:t>
            </w:r>
          </w:p>
        </w:tc>
        <w:tc>
          <w:tcPr>
            <w:tcW w:w="1357" w:type="pct"/>
            <w:shd w:val="clear" w:color="auto" w:fill="auto"/>
            <w:noWrap/>
            <w:vAlign w:val="center"/>
          </w:tcPr>
          <w:p w:rsidR="00734B17" w:rsidRPr="00313580" w:rsidRDefault="00A7790B" w:rsidP="008C7FFB">
            <w:pPr>
              <w:widowControl w:val="0"/>
              <w:spacing w:line="276" w:lineRule="auto"/>
              <w:jc w:val="center"/>
              <w:rPr>
                <w:rFonts w:eastAsia="Times New Roman"/>
                <w:bCs/>
                <w:kern w:val="32"/>
                <w:szCs w:val="24"/>
                <w:lang w:val="en-US"/>
              </w:rPr>
            </w:pPr>
            <w:r w:rsidRPr="00313580">
              <w:rPr>
                <w:rFonts w:eastAsia="Times New Roman"/>
                <w:bCs/>
                <w:kern w:val="32"/>
                <w:szCs w:val="24"/>
                <w:lang w:val="en-US"/>
              </w:rPr>
              <w:t>162.74</w:t>
            </w:r>
          </w:p>
        </w:tc>
      </w:tr>
    </w:tbl>
    <w:p w:rsidR="00FF6B72" w:rsidRPr="00F972D7" w:rsidRDefault="006E64FD" w:rsidP="006E64FD">
      <w:pPr>
        <w:pStyle w:val="Heading2"/>
        <w:numPr>
          <w:ilvl w:val="0"/>
          <w:numId w:val="0"/>
        </w:numPr>
        <w:ind w:left="720"/>
        <w:rPr>
          <w:szCs w:val="24"/>
        </w:rPr>
      </w:pPr>
      <w:r>
        <w:rPr>
          <w:szCs w:val="24"/>
        </w:rPr>
        <w:t>The proof of landed price of HFO is attached as Annexure-1.</w:t>
      </w:r>
    </w:p>
    <w:p w:rsidR="00FF6B72" w:rsidRDefault="00FF6B72" w:rsidP="00FF6B72">
      <w:pPr>
        <w:pStyle w:val="Heading2"/>
      </w:pPr>
      <w:r w:rsidRPr="00F972D7">
        <w:t xml:space="preserve">OPGC humbly request the Hon’ble OERC to approve </w:t>
      </w:r>
      <w:r w:rsidR="00785994">
        <w:t xml:space="preserve">base </w:t>
      </w:r>
      <w:r w:rsidR="00FF5222">
        <w:t>Variable</w:t>
      </w:r>
      <w:r w:rsidRPr="00F972D7">
        <w:t xml:space="preserve"> Charge</w:t>
      </w:r>
      <w:r w:rsidR="00FF5222">
        <w:t xml:space="preserve">s </w:t>
      </w:r>
      <w:r w:rsidRPr="00F972D7">
        <w:t xml:space="preserve">of </w:t>
      </w:r>
      <w:r w:rsidR="0081235B">
        <w:t>16</w:t>
      </w:r>
      <w:r w:rsidR="00A7790B">
        <w:t>2</w:t>
      </w:r>
      <w:r w:rsidR="0081235B">
        <w:t>.</w:t>
      </w:r>
      <w:r w:rsidR="00A7790B">
        <w:t>74</w:t>
      </w:r>
      <w:r>
        <w:t>Paisa</w:t>
      </w:r>
      <w:r w:rsidRPr="00F972D7">
        <w:t>/kWh for FY 201</w:t>
      </w:r>
      <w:r w:rsidR="009B76C6">
        <w:t>9</w:t>
      </w:r>
      <w:r w:rsidRPr="00F972D7">
        <w:t>-</w:t>
      </w:r>
      <w:r w:rsidR="009B76C6">
        <w:t>20</w:t>
      </w:r>
      <w:r w:rsidR="00F57FBD">
        <w:t>.</w:t>
      </w:r>
      <w:r w:rsidR="0081235B">
        <w:t xml:space="preserve"> Any variation in energy charges during the year on account of fuel prices and calorific value will be claimed through Fuel Price Adjustment in supplementary bills on half yearly basis as per the provisions of PPA. </w:t>
      </w:r>
    </w:p>
    <w:bookmarkEnd w:id="398"/>
    <w:p w:rsidR="00FF6B72" w:rsidRPr="00F972D7" w:rsidRDefault="00FF6B72" w:rsidP="00FF6B72">
      <w:pPr>
        <w:pStyle w:val="Heading3"/>
        <w:keepNext w:val="0"/>
        <w:widowControl w:val="0"/>
        <w:numPr>
          <w:ilvl w:val="0"/>
          <w:numId w:val="0"/>
        </w:numPr>
        <w:tabs>
          <w:tab w:val="left" w:pos="2840"/>
        </w:tabs>
        <w:spacing w:before="0" w:after="0"/>
        <w:ind w:left="720" w:hanging="720"/>
        <w:rPr>
          <w:rFonts w:ascii="Times New Roman" w:hAnsi="Times New Roman"/>
          <w:b/>
          <w:i/>
          <w:szCs w:val="24"/>
        </w:rPr>
      </w:pPr>
    </w:p>
    <w:p w:rsidR="00FF6B72" w:rsidRPr="00F972D7" w:rsidRDefault="00FF6B72" w:rsidP="00FF6B72">
      <w:pPr>
        <w:pStyle w:val="Heading3"/>
        <w:keepNext w:val="0"/>
        <w:widowControl w:val="0"/>
        <w:numPr>
          <w:ilvl w:val="0"/>
          <w:numId w:val="0"/>
        </w:numPr>
        <w:spacing w:before="0" w:after="0"/>
        <w:ind w:left="720" w:hanging="720"/>
        <w:rPr>
          <w:rFonts w:ascii="Times New Roman" w:hAnsi="Times New Roman"/>
          <w:b/>
          <w:bCs w:val="0"/>
          <w:i/>
          <w:szCs w:val="24"/>
        </w:rPr>
      </w:pPr>
      <w:r>
        <w:rPr>
          <w:rFonts w:ascii="Times New Roman" w:hAnsi="Times New Roman"/>
          <w:b/>
          <w:i/>
          <w:szCs w:val="24"/>
        </w:rPr>
        <w:t>Reimbursement of other charges</w:t>
      </w:r>
    </w:p>
    <w:p w:rsidR="00FF6B72" w:rsidRDefault="00FF6B72" w:rsidP="00FF6B72">
      <w:pPr>
        <w:pStyle w:val="Heading2"/>
      </w:pPr>
      <w:r>
        <w:t>Clause 10.0 of the approved Amended PPA stipulates as under:</w:t>
      </w:r>
    </w:p>
    <w:p w:rsidR="00FF6B72" w:rsidRDefault="00FF6B72" w:rsidP="00FF6B72">
      <w:pPr>
        <w:ind w:left="1440"/>
        <w:rPr>
          <w:i/>
          <w:lang w:val="en-GB"/>
        </w:rPr>
      </w:pPr>
      <w:r>
        <w:rPr>
          <w:i/>
          <w:lang w:val="en-GB"/>
        </w:rPr>
        <w:t xml:space="preserve">“10.0 </w:t>
      </w:r>
      <w:r>
        <w:rPr>
          <w:b/>
          <w:i/>
          <w:u w:val="single"/>
          <w:lang w:val="en-GB"/>
        </w:rPr>
        <w:t>LEVIES, TAXES, DUTIES, CESS ETC. :</w:t>
      </w:r>
    </w:p>
    <w:p w:rsidR="00FF6B72" w:rsidRPr="006119C3" w:rsidRDefault="00FF6B72" w:rsidP="00FF6B72">
      <w:pPr>
        <w:ind w:left="1440"/>
        <w:rPr>
          <w:i/>
        </w:rPr>
      </w:pPr>
      <w:r w:rsidRPr="006119C3">
        <w:rPr>
          <w:i/>
        </w:rPr>
        <w:t>The above tariff is exclusive of any statutory taxes, levies, duties, cess or any other kind of imposition(s) whatsoever imposed/charged by any Government (Central/State) and/or any other local bodies/authorities on generation of electricity including auxiliary consumption or any other type of consumption, transmission, sale or on supply of power/energy and/or in respect of any of its installations associated with Generating Stations and/or on Transmission System, Environmental Protection, Water etc. However electricity duty payable on energy drawn by OPGC if any shall be payable by OPGC and reimbursed by GRIDCO.”</w:t>
      </w:r>
    </w:p>
    <w:p w:rsidR="00EF2947" w:rsidRPr="00EF2947" w:rsidRDefault="00EF2947" w:rsidP="00FB64E8"/>
    <w:p w:rsidR="00FF6B72" w:rsidRPr="00493459" w:rsidRDefault="00FF6B72" w:rsidP="00FF6B72">
      <w:pPr>
        <w:pStyle w:val="Heading2"/>
        <w:rPr>
          <w:b/>
        </w:rPr>
      </w:pPr>
      <w:r>
        <w:t>Clause 11.0(vii) of the approved Amended PPA stipulates as under:</w:t>
      </w:r>
    </w:p>
    <w:p w:rsidR="00FF6B72" w:rsidRDefault="00FF6B72" w:rsidP="00FF6B72">
      <w:pPr>
        <w:ind w:left="1440"/>
        <w:rPr>
          <w:i/>
        </w:rPr>
      </w:pPr>
      <w:r>
        <w:rPr>
          <w:i/>
        </w:rPr>
        <w:t>“vii) Supplementary bills will be raised for the following.</w:t>
      </w:r>
    </w:p>
    <w:p w:rsidR="00FF6B72" w:rsidRDefault="00FF6B72" w:rsidP="00FF6B72">
      <w:pPr>
        <w:ind w:left="1440"/>
        <w:rPr>
          <w:i/>
        </w:rPr>
      </w:pPr>
      <w:r>
        <w:rPr>
          <w:i/>
        </w:rPr>
        <w:tab/>
        <w:t>a) Fuel price adjustment on half yearly basis</w:t>
      </w:r>
    </w:p>
    <w:p w:rsidR="00FF6B72" w:rsidRDefault="00FF6B72" w:rsidP="00FF6B72">
      <w:pPr>
        <w:ind w:left="1440"/>
        <w:rPr>
          <w:i/>
        </w:rPr>
      </w:pPr>
      <w:r>
        <w:rPr>
          <w:i/>
        </w:rPr>
        <w:tab/>
        <w:t>b) Incentive/disincentive at the end of year</w:t>
      </w:r>
    </w:p>
    <w:p w:rsidR="00FF6B72" w:rsidRDefault="00FF6B72" w:rsidP="00FF6B72">
      <w:pPr>
        <w:ind w:left="1440"/>
        <w:rPr>
          <w:i/>
        </w:rPr>
      </w:pPr>
      <w:r>
        <w:rPr>
          <w:i/>
        </w:rPr>
        <w:tab/>
        <w:t xml:space="preserve">c) Income Tax as per actual to be reimbursed as detailed in Para-6.0 of </w:t>
      </w:r>
    </w:p>
    <w:p w:rsidR="00FF6B72" w:rsidRDefault="00FF6B72" w:rsidP="00FF6B72">
      <w:pPr>
        <w:ind w:left="1440" w:firstLine="720"/>
        <w:rPr>
          <w:i/>
        </w:rPr>
      </w:pPr>
      <w:r>
        <w:rPr>
          <w:i/>
        </w:rPr>
        <w:t>schedule – II</w:t>
      </w:r>
    </w:p>
    <w:p w:rsidR="00FF6B72" w:rsidRPr="0099143A" w:rsidRDefault="00FF6B72" w:rsidP="00FF6B72">
      <w:pPr>
        <w:ind w:left="1440"/>
        <w:rPr>
          <w:i/>
        </w:rPr>
      </w:pPr>
      <w:r>
        <w:rPr>
          <w:i/>
        </w:rPr>
        <w:tab/>
        <w:t>d) Any other charges/taxes etc.”</w:t>
      </w:r>
    </w:p>
    <w:p w:rsidR="00D46410" w:rsidRPr="00D46410" w:rsidRDefault="00D46410" w:rsidP="00D46410"/>
    <w:p w:rsidR="00FF6B72" w:rsidRDefault="003A64D9" w:rsidP="00094A44">
      <w:pPr>
        <w:pStyle w:val="Heading2"/>
      </w:pPr>
      <w:r>
        <w:t>Accordingly, OPGC has claimed the following other charges for FY 2019-20</w:t>
      </w:r>
      <w:r w:rsidR="002F2F37">
        <w:t>:</w:t>
      </w:r>
    </w:p>
    <w:p w:rsidR="006F5186" w:rsidRDefault="00A848FA" w:rsidP="00A848FA">
      <w:pPr>
        <w:pStyle w:val="ListParagraph"/>
        <w:numPr>
          <w:ilvl w:val="0"/>
          <w:numId w:val="44"/>
        </w:numPr>
      </w:pPr>
      <w:r>
        <w:t>Electricity Duty</w:t>
      </w:r>
    </w:p>
    <w:p w:rsidR="00A848FA" w:rsidRDefault="00C94848" w:rsidP="00A848FA">
      <w:pPr>
        <w:pStyle w:val="ListParagraph"/>
        <w:numPr>
          <w:ilvl w:val="0"/>
          <w:numId w:val="44"/>
        </w:numPr>
      </w:pPr>
      <w:r>
        <w:t>Water Cess and Water Charges</w:t>
      </w:r>
    </w:p>
    <w:p w:rsidR="00C94848" w:rsidRDefault="00C94848" w:rsidP="00A848FA">
      <w:pPr>
        <w:pStyle w:val="ListParagraph"/>
        <w:numPr>
          <w:ilvl w:val="0"/>
          <w:numId w:val="44"/>
        </w:numPr>
      </w:pPr>
      <w:r>
        <w:t>Tax and Cess on Land</w:t>
      </w:r>
    </w:p>
    <w:p w:rsidR="00C94848" w:rsidRDefault="005E5267" w:rsidP="00A848FA">
      <w:pPr>
        <w:pStyle w:val="ListParagraph"/>
        <w:numPr>
          <w:ilvl w:val="0"/>
          <w:numId w:val="44"/>
        </w:numPr>
      </w:pPr>
      <w:r>
        <w:t>System Operation Charges (SOC) &amp; Market Operation Charges (MOC)</w:t>
      </w:r>
      <w:r w:rsidR="00C94848">
        <w:t xml:space="preserve"> for SLDC</w:t>
      </w:r>
    </w:p>
    <w:p w:rsidR="00C94848" w:rsidRDefault="00C94848" w:rsidP="00A848FA">
      <w:pPr>
        <w:pStyle w:val="ListParagraph"/>
        <w:numPr>
          <w:ilvl w:val="0"/>
          <w:numId w:val="44"/>
        </w:numPr>
      </w:pPr>
      <w:r>
        <w:t>ERPC Charges</w:t>
      </w:r>
    </w:p>
    <w:p w:rsidR="00C94848" w:rsidRDefault="00C94848" w:rsidP="00A848FA">
      <w:pPr>
        <w:pStyle w:val="ListParagraph"/>
        <w:numPr>
          <w:ilvl w:val="0"/>
          <w:numId w:val="44"/>
        </w:numPr>
      </w:pPr>
      <w:r>
        <w:t>Income Tax</w:t>
      </w:r>
    </w:p>
    <w:p w:rsidR="00C94848" w:rsidRDefault="00C94848" w:rsidP="00A848FA">
      <w:pPr>
        <w:pStyle w:val="ListParagraph"/>
        <w:numPr>
          <w:ilvl w:val="0"/>
          <w:numId w:val="44"/>
        </w:numPr>
      </w:pPr>
      <w:r>
        <w:t>Recovery of ARR &amp; Tariff Petition Fee</w:t>
      </w:r>
      <w:r w:rsidR="00BF00E1">
        <w:t xml:space="preserve"> and Publication Expenses</w:t>
      </w:r>
    </w:p>
    <w:p w:rsidR="00FA5626" w:rsidRPr="00A848FA" w:rsidRDefault="00FA5626" w:rsidP="00A848FA">
      <w:pPr>
        <w:pStyle w:val="ListParagraph"/>
        <w:numPr>
          <w:ilvl w:val="0"/>
          <w:numId w:val="44"/>
        </w:numPr>
      </w:pPr>
      <w:r>
        <w:t>Contribution to Water Conservation Fund</w:t>
      </w:r>
      <w:r w:rsidR="00DF71DE">
        <w:t>, Odisha</w:t>
      </w:r>
    </w:p>
    <w:p w:rsidR="000E094B" w:rsidRDefault="000E094B" w:rsidP="000E094B">
      <w:pPr>
        <w:rPr>
          <w:lang w:val="en-GB"/>
        </w:rPr>
      </w:pPr>
    </w:p>
    <w:p w:rsidR="000E094B" w:rsidRDefault="0056738C" w:rsidP="0056738C">
      <w:pPr>
        <w:pStyle w:val="Heading2"/>
        <w:rPr>
          <w:lang w:val="en-US"/>
        </w:rPr>
      </w:pPr>
      <w:r w:rsidRPr="0005493D">
        <w:rPr>
          <w:b/>
        </w:rPr>
        <w:t>Electricity Duty:</w:t>
      </w:r>
      <w:r w:rsidR="00E4242D">
        <w:t xml:space="preserve">Electricity Duty is payable on the auxiliary consumption </w:t>
      </w:r>
      <w:r w:rsidR="00606FB3">
        <w:t xml:space="preserve">of the generating station </w:t>
      </w:r>
      <w:r w:rsidR="00E015C4">
        <w:t>at the prevailing rates</w:t>
      </w:r>
      <w:r w:rsidR="008B33FC">
        <w:t>,</w:t>
      </w:r>
      <w:r w:rsidR="00E015C4">
        <w:t xml:space="preserve"> which is currently Rs. 0.55/kWh. </w:t>
      </w:r>
      <w:r w:rsidR="00FC14D2">
        <w:rPr>
          <w:lang w:val="en-US"/>
        </w:rPr>
        <w:t xml:space="preserve">OPGC has </w:t>
      </w:r>
      <w:r w:rsidR="00DF71DE">
        <w:rPr>
          <w:lang w:val="en-US"/>
        </w:rPr>
        <w:t>paid</w:t>
      </w:r>
      <w:r w:rsidR="00FC14D2">
        <w:rPr>
          <w:lang w:val="en-US"/>
        </w:rPr>
        <w:t xml:space="preserve"> the Electricity Duty of Rs. 1</w:t>
      </w:r>
      <w:r w:rsidR="00DF71DE">
        <w:rPr>
          <w:lang w:val="en-US"/>
        </w:rPr>
        <w:t>6.50</w:t>
      </w:r>
      <w:r w:rsidR="00FC14D2">
        <w:rPr>
          <w:lang w:val="en-US"/>
        </w:rPr>
        <w:t xml:space="preserve"> Crore in FY 2017-18</w:t>
      </w:r>
      <w:r w:rsidR="00DF71DE">
        <w:rPr>
          <w:lang w:val="en-US"/>
        </w:rPr>
        <w:t xml:space="preserve"> to Government of Odisha</w:t>
      </w:r>
      <w:r w:rsidR="00FC14D2">
        <w:rPr>
          <w:lang w:val="en-US"/>
        </w:rPr>
        <w:t>.</w:t>
      </w:r>
      <w:r w:rsidR="009E419A">
        <w:rPr>
          <w:lang w:val="en-US"/>
        </w:rPr>
        <w:t xml:space="preserve"> OPGC requests the Hon’ble Commission to consider the </w:t>
      </w:r>
      <w:r w:rsidR="00F5693F">
        <w:rPr>
          <w:lang w:val="en-US"/>
        </w:rPr>
        <w:t xml:space="preserve">same </w:t>
      </w:r>
      <w:r w:rsidR="009E419A">
        <w:rPr>
          <w:lang w:val="en-US"/>
        </w:rPr>
        <w:t>amount of Rs. 1</w:t>
      </w:r>
      <w:r w:rsidR="00DF71DE">
        <w:rPr>
          <w:lang w:val="en-US"/>
        </w:rPr>
        <w:t>6.50</w:t>
      </w:r>
      <w:r w:rsidR="009E419A">
        <w:rPr>
          <w:lang w:val="en-US"/>
        </w:rPr>
        <w:t xml:space="preserve"> Crore </w:t>
      </w:r>
      <w:r w:rsidR="00B968DC">
        <w:rPr>
          <w:lang w:val="en-US"/>
        </w:rPr>
        <w:t>provisionally in the tariff determination for FY 2019-20.</w:t>
      </w:r>
      <w:r w:rsidR="00BF7387">
        <w:rPr>
          <w:lang w:val="en-US"/>
        </w:rPr>
        <w:t xml:space="preserve"> The actual Electricity Duty payable shall be billed in accordance with the provisions of the approved Amended PPA.</w:t>
      </w:r>
    </w:p>
    <w:p w:rsidR="00526271" w:rsidRDefault="00526271" w:rsidP="00526271">
      <w:pPr>
        <w:rPr>
          <w:lang w:val="en-US"/>
        </w:rPr>
      </w:pPr>
    </w:p>
    <w:p w:rsidR="00526271" w:rsidRPr="00313580" w:rsidRDefault="00526271" w:rsidP="00526271">
      <w:pPr>
        <w:pStyle w:val="Heading2"/>
      </w:pPr>
      <w:r w:rsidRPr="00526271">
        <w:rPr>
          <w:b/>
        </w:rPr>
        <w:t>Water Cess and Water Charges:</w:t>
      </w:r>
      <w:r>
        <w:t xml:space="preserve"> OPGC claims the Water Cess and Water Charges of Rs. 6.</w:t>
      </w:r>
      <w:r w:rsidR="00DF71DE">
        <w:t>86</w:t>
      </w:r>
      <w:r>
        <w:t xml:space="preserve"> Crore, which is the same as act</w:t>
      </w:r>
      <w:r w:rsidR="00815942">
        <w:t>u</w:t>
      </w:r>
      <w:r>
        <w:t xml:space="preserve">ally </w:t>
      </w:r>
      <w:r w:rsidRPr="00313580">
        <w:t>incurred in FY 2017-18</w:t>
      </w:r>
      <w:r w:rsidR="009E2C01" w:rsidRPr="00313580">
        <w:t>.</w:t>
      </w:r>
      <w:r w:rsidR="00FA649E" w:rsidRPr="00313580">
        <w:t xml:space="preserve"> In addition to the regular Water Cess and Water Charges being paid to WRD, Govt. of Odisha, as per the Government of Odisha </w:t>
      </w:r>
      <w:r w:rsidR="00806BC5">
        <w:t>letter No. 6140 dated July 31, 2012</w:t>
      </w:r>
      <w:r w:rsidR="00313580">
        <w:t>.</w:t>
      </w:r>
      <w:r w:rsidR="00FA649E" w:rsidRPr="00313580">
        <w:t xml:space="preserve">(Copy </w:t>
      </w:r>
      <w:r w:rsidR="00A7790B" w:rsidRPr="00313580">
        <w:t xml:space="preserve">of </w:t>
      </w:r>
      <w:r w:rsidR="00806BC5">
        <w:t>letter</w:t>
      </w:r>
      <w:r w:rsidR="00A7790B" w:rsidRPr="00313580">
        <w:t xml:space="preserve"> </w:t>
      </w:r>
      <w:r w:rsidR="00FA649E" w:rsidRPr="00313580">
        <w:t>attached</w:t>
      </w:r>
      <w:r w:rsidR="00A7790B" w:rsidRPr="00313580">
        <w:t xml:space="preserve"> as Annexure-</w:t>
      </w:r>
      <w:r w:rsidR="008C6A5A" w:rsidRPr="00313580">
        <w:t>2</w:t>
      </w:r>
      <w:r w:rsidR="00FA649E" w:rsidRPr="00313580">
        <w:t xml:space="preserve">), OPGC is required to pay additional </w:t>
      </w:r>
      <w:r w:rsidR="00481657" w:rsidRPr="00313580">
        <w:t>c</w:t>
      </w:r>
      <w:r w:rsidR="00FA649E" w:rsidRPr="00313580">
        <w:t xml:space="preserve">harges to OHPC </w:t>
      </w:r>
      <w:r w:rsidR="00481657" w:rsidRPr="00313580">
        <w:t>for drawal of water in the form of energy compensation</w:t>
      </w:r>
      <w:r w:rsidR="00FA649E" w:rsidRPr="00313580">
        <w:t xml:space="preserve">. The estimated charges for FY 2019-20 is Rs. </w:t>
      </w:r>
      <w:r w:rsidR="00481657" w:rsidRPr="00313580">
        <w:t xml:space="preserve">0.62 </w:t>
      </w:r>
      <w:r w:rsidR="00FA649E" w:rsidRPr="00313580">
        <w:t>Crore</w:t>
      </w:r>
      <w:r w:rsidR="00481657" w:rsidRPr="00313580">
        <w:t xml:space="preserve"> approximately in line with the </w:t>
      </w:r>
      <w:r w:rsidR="003D2757" w:rsidRPr="00313580">
        <w:t xml:space="preserve">invoice of 2017-18. </w:t>
      </w:r>
      <w:r w:rsidR="007917F0" w:rsidRPr="00313580">
        <w:t>In addition to the above, OHPC has raised invoice for Rs. 4,75,78,538/- till August 2018</w:t>
      </w:r>
      <w:r w:rsidR="00A7790B" w:rsidRPr="00313580">
        <w:t xml:space="preserve"> (Copy of OHPC Inv</w:t>
      </w:r>
      <w:r w:rsidR="008C6A5A" w:rsidRPr="00313580">
        <w:t>o</w:t>
      </w:r>
      <w:r w:rsidR="00A7790B" w:rsidRPr="00313580">
        <w:t>ice is attached at Annexure-</w:t>
      </w:r>
      <w:r w:rsidR="008C6A5A" w:rsidRPr="00313580">
        <w:t>3</w:t>
      </w:r>
      <w:r w:rsidR="00A7790B" w:rsidRPr="00313580">
        <w:t>)</w:t>
      </w:r>
      <w:r w:rsidR="007917F0" w:rsidRPr="00313580">
        <w:t xml:space="preserve">. Out of such claim, Rs. 3,75,12,218/- is related to Ib TPS Unit </w:t>
      </w:r>
      <w:r w:rsidR="003D2757" w:rsidRPr="00313580">
        <w:t>1&amp;2</w:t>
      </w:r>
      <w:r w:rsidR="007917F0" w:rsidRPr="00313580">
        <w:t xml:space="preserve"> (210 MW X 2)</w:t>
      </w:r>
      <w:r w:rsidR="003D2757" w:rsidRPr="00313580">
        <w:t>. A</w:t>
      </w:r>
      <w:r w:rsidR="007917F0" w:rsidRPr="00313580">
        <w:t>c</w:t>
      </w:r>
      <w:r w:rsidR="003D2757" w:rsidRPr="00313580">
        <w:t xml:space="preserve">cordingly, OPGC requests the Hon’ble </w:t>
      </w:r>
      <w:r w:rsidR="007917F0" w:rsidRPr="00313580">
        <w:t>Commission to pass appropriate Order for reimbursement of such amount and the amount payable for the balance period of FY 2018-19.</w:t>
      </w:r>
    </w:p>
    <w:p w:rsidR="009E2C01" w:rsidRDefault="009E2C01" w:rsidP="009E2C01">
      <w:pPr>
        <w:rPr>
          <w:lang w:val="en-GB"/>
        </w:rPr>
      </w:pPr>
    </w:p>
    <w:p w:rsidR="009E2C01" w:rsidRDefault="002A44CB" w:rsidP="009E2C01">
      <w:pPr>
        <w:pStyle w:val="Heading2"/>
      </w:pPr>
      <w:r w:rsidRPr="002A44CB">
        <w:rPr>
          <w:b/>
        </w:rPr>
        <w:t>Tax and Cess on land:</w:t>
      </w:r>
      <w:r>
        <w:t xml:space="preserve"> OPGC claims the tax and cess on land of Rs. 0.19 Crore, which is the same as actually incurred in FY 2017-18.</w:t>
      </w:r>
    </w:p>
    <w:p w:rsidR="002A44CB" w:rsidRDefault="002A44CB" w:rsidP="002A44CB">
      <w:pPr>
        <w:rPr>
          <w:lang w:val="en-GB"/>
        </w:rPr>
      </w:pPr>
    </w:p>
    <w:p w:rsidR="005E5267" w:rsidRDefault="005E5267" w:rsidP="005E5267">
      <w:pPr>
        <w:pStyle w:val="Heading2"/>
      </w:pPr>
      <w:r w:rsidRPr="000D1D9D">
        <w:rPr>
          <w:b/>
        </w:rPr>
        <w:t>System Operation Charges (SOC) &amp; Market Operation Charges (MOC)</w:t>
      </w:r>
      <w:r w:rsidR="00537CE3" w:rsidRPr="000D1D9D">
        <w:rPr>
          <w:b/>
        </w:rPr>
        <w:t xml:space="preserve"> for SLDC:</w:t>
      </w:r>
      <w:r w:rsidR="000D1D9D">
        <w:t>OPGC claims the amount of Rs. 0.</w:t>
      </w:r>
      <w:r w:rsidR="001F2617">
        <w:t xml:space="preserve">32 </w:t>
      </w:r>
      <w:r w:rsidR="000D1D9D">
        <w:t>Crore towards charges to be paid to SLDC for SOC and MOC, the same as per the SLDC Tariff Order for FY 2018-19.</w:t>
      </w:r>
    </w:p>
    <w:p w:rsidR="000D1D9D" w:rsidRDefault="000D1D9D" w:rsidP="000D1D9D">
      <w:pPr>
        <w:rPr>
          <w:lang w:val="en-GB"/>
        </w:rPr>
      </w:pPr>
    </w:p>
    <w:p w:rsidR="000D1D9D" w:rsidRDefault="000D1D9D" w:rsidP="000D1D9D">
      <w:pPr>
        <w:pStyle w:val="Heading2"/>
      </w:pPr>
      <w:r w:rsidRPr="000D1D9D">
        <w:rPr>
          <w:b/>
        </w:rPr>
        <w:t>ERPC Charges:</w:t>
      </w:r>
      <w:r>
        <w:t xml:space="preserve"> OPGC claims the ERPC Charges of Rs. 0.16 Crore</w:t>
      </w:r>
      <w:r w:rsidR="007917F0">
        <w:t>, as actually paid during FY 2017-18</w:t>
      </w:r>
      <w:r>
        <w:t>.</w:t>
      </w:r>
    </w:p>
    <w:p w:rsidR="000D1D9D" w:rsidRDefault="000D1D9D" w:rsidP="000D1D9D">
      <w:pPr>
        <w:rPr>
          <w:lang w:val="en-GB"/>
        </w:rPr>
      </w:pPr>
    </w:p>
    <w:p w:rsidR="000D1D9D" w:rsidRPr="00D73D7D" w:rsidRDefault="000D1D9D" w:rsidP="000D1D9D">
      <w:pPr>
        <w:pStyle w:val="Heading2"/>
      </w:pPr>
      <w:r w:rsidRPr="00D73D7D">
        <w:rPr>
          <w:b/>
        </w:rPr>
        <w:t>Income Tax:</w:t>
      </w:r>
      <w:r w:rsidRPr="00D73D7D">
        <w:t xml:space="preserve"> OPGC claims the income tax of Rs. 38.</w:t>
      </w:r>
      <w:r w:rsidR="002D39D6" w:rsidRPr="00D73D7D">
        <w:t>67</w:t>
      </w:r>
      <w:r w:rsidRPr="00D73D7D">
        <w:t xml:space="preserve"> Crore considering the Return on Equity of Rs. 72 Crore corresponding to the original capital cost and the applicable tax rate of 34.</w:t>
      </w:r>
      <w:r w:rsidR="002D39D6" w:rsidRPr="00D73D7D">
        <w:t>94</w:t>
      </w:r>
      <w:r w:rsidRPr="00D73D7D">
        <w:t>%.</w:t>
      </w:r>
    </w:p>
    <w:p w:rsidR="00101A29" w:rsidRPr="00D73D7D" w:rsidRDefault="00101A29" w:rsidP="00101A29">
      <w:pPr>
        <w:rPr>
          <w:lang w:val="en-GB"/>
        </w:rPr>
      </w:pPr>
    </w:p>
    <w:p w:rsidR="00DB21E9" w:rsidRPr="00D73D7D" w:rsidRDefault="00DB21E9" w:rsidP="00E93535">
      <w:pPr>
        <w:pStyle w:val="Heading2"/>
      </w:pPr>
      <w:r w:rsidRPr="00D73D7D">
        <w:rPr>
          <w:b/>
        </w:rPr>
        <w:t>Reimbursement of contribution towards Water Conservation Fund:  A</w:t>
      </w:r>
      <w:r w:rsidRPr="00D73D7D">
        <w:t xml:space="preserve">s per the </w:t>
      </w:r>
      <w:r w:rsidR="00A7790B" w:rsidRPr="00D73D7D">
        <w:t xml:space="preserve">Resolution </w:t>
      </w:r>
      <w:r w:rsidR="00481EAC" w:rsidRPr="00D73D7D">
        <w:t xml:space="preserve">of </w:t>
      </w:r>
      <w:r w:rsidR="00A7790B" w:rsidRPr="00D73D7D">
        <w:t xml:space="preserve"> Department of Water Resou</w:t>
      </w:r>
      <w:r w:rsidR="00481EAC" w:rsidRPr="00D73D7D">
        <w:t>r</w:t>
      </w:r>
      <w:r w:rsidR="00A7790B" w:rsidRPr="00D73D7D">
        <w:t xml:space="preserve">ces, </w:t>
      </w:r>
      <w:r w:rsidRPr="00D73D7D">
        <w:t>Government of Odisha</w:t>
      </w:r>
      <w:r w:rsidR="00A7790B" w:rsidRPr="00D73D7D">
        <w:t xml:space="preserve">, </w:t>
      </w:r>
      <w:r w:rsidRPr="00D73D7D">
        <w:t xml:space="preserve">dated </w:t>
      </w:r>
      <w:r w:rsidR="00A7790B" w:rsidRPr="00D73D7D">
        <w:t>18</w:t>
      </w:r>
      <w:r w:rsidR="00A7790B" w:rsidRPr="00D73D7D">
        <w:rPr>
          <w:vertAlign w:val="superscript"/>
        </w:rPr>
        <w:t>th</w:t>
      </w:r>
      <w:r w:rsidR="00A7790B" w:rsidRPr="00D73D7D">
        <w:t xml:space="preserve"> May, 2015 </w:t>
      </w:r>
      <w:r w:rsidRPr="00D73D7D">
        <w:t>(Copy attached</w:t>
      </w:r>
      <w:r w:rsidR="00A7790B" w:rsidRPr="00D73D7D">
        <w:t xml:space="preserve"> as Annexure-</w:t>
      </w:r>
      <w:r w:rsidR="008C6A5A" w:rsidRPr="00D73D7D">
        <w:t>4</w:t>
      </w:r>
      <w:r w:rsidRPr="00D73D7D">
        <w:t>), OPGC is required to contribute an amount of Rs 30.65 Crore (12.26 Cusec X 2.5 Crore/Cusec) towards</w:t>
      </w:r>
      <w:r w:rsidR="005B1F57">
        <w:t xml:space="preserve"> </w:t>
      </w:r>
      <w:r w:rsidRPr="00D73D7D">
        <w:t xml:space="preserve">creation of water conservation Fund. </w:t>
      </w:r>
      <w:r w:rsidR="00481EAC" w:rsidRPr="00D73D7D">
        <w:t xml:space="preserve">Further, as per </w:t>
      </w:r>
      <w:r w:rsidR="00481EAC" w:rsidRPr="00D73D7D">
        <w:rPr>
          <w:lang w:val="en-IN"/>
        </w:rPr>
        <w:t>the Resolution of Department of Water Resources, Government of Odisha, dated 3</w:t>
      </w:r>
      <w:r w:rsidR="00481EAC" w:rsidRPr="00D73D7D">
        <w:rPr>
          <w:vertAlign w:val="superscript"/>
          <w:lang w:val="en-IN"/>
        </w:rPr>
        <w:t>rd</w:t>
      </w:r>
      <w:r w:rsidR="00481EAC" w:rsidRPr="00D73D7D">
        <w:rPr>
          <w:lang w:val="en-IN"/>
        </w:rPr>
        <w:t xml:space="preserve"> November, 2015 (Copy attached as Annexure-</w:t>
      </w:r>
      <w:r w:rsidR="008C6A5A" w:rsidRPr="00D73D7D">
        <w:rPr>
          <w:lang w:val="en-IN"/>
        </w:rPr>
        <w:t>5</w:t>
      </w:r>
      <w:r w:rsidR="00481EAC" w:rsidRPr="00D73D7D">
        <w:rPr>
          <w:lang w:val="en-IN"/>
        </w:rPr>
        <w:t>), the Government has provided the facility to industries to deposit their contribution to the Water Conservation Fund in five equal annual instalments. OPGC has also received a letter on July 14, 2015 from Main Dam Division, Burla to deposit the contribution towards Water Conservation Fund (Copy attached as Annexure-</w:t>
      </w:r>
      <w:r w:rsidR="008C6A5A" w:rsidRPr="00D73D7D">
        <w:rPr>
          <w:lang w:val="en-IN"/>
        </w:rPr>
        <w:t>6</w:t>
      </w:r>
      <w:r w:rsidR="00481EAC" w:rsidRPr="00D73D7D">
        <w:rPr>
          <w:lang w:val="en-IN"/>
        </w:rPr>
        <w:t xml:space="preserve">). As the facility of making this payment is available in five equal annual instalments, OPGC has decided to opt for this facility and make payment in five annual instalments to reduce the burden to be passed on in tariff. Accordingly, OPGC has claimed an amount of Rs 6.13 Crore in FY 2019-20 towards contribution to Water Conservation Fund. </w:t>
      </w:r>
      <w:r w:rsidRPr="00D73D7D">
        <w:t xml:space="preserve">OPGC humbly </w:t>
      </w:r>
      <w:r w:rsidR="00481EAC" w:rsidRPr="00D73D7D">
        <w:t xml:space="preserve">submits that this expense is not in control of OPGC and is payable because of Govt. Resolution. Hence, OPGC </w:t>
      </w:r>
      <w:r w:rsidRPr="00D73D7D">
        <w:t>requests the Hon’ble OERC to allow reimbursement of the same.</w:t>
      </w:r>
    </w:p>
    <w:p w:rsidR="001F2617" w:rsidRPr="00D73D7D" w:rsidRDefault="001F2617" w:rsidP="001F2617">
      <w:pPr>
        <w:rPr>
          <w:lang w:val="en-GB"/>
        </w:rPr>
      </w:pPr>
    </w:p>
    <w:p w:rsidR="00101A29" w:rsidRPr="00D73D7D" w:rsidRDefault="00080485" w:rsidP="00101A29">
      <w:pPr>
        <w:pStyle w:val="Heading2"/>
      </w:pPr>
      <w:r w:rsidRPr="00D73D7D">
        <w:rPr>
          <w:b/>
        </w:rPr>
        <w:t>Recovery of ARR &amp; Tariff Petition Fee</w:t>
      </w:r>
      <w:r w:rsidR="0016620D" w:rsidRPr="00D73D7D">
        <w:rPr>
          <w:b/>
        </w:rPr>
        <w:t xml:space="preserve"> and Publication Expenses</w:t>
      </w:r>
      <w:r w:rsidRPr="00D73D7D">
        <w:rPr>
          <w:b/>
        </w:rPr>
        <w:t>:</w:t>
      </w:r>
      <w:r w:rsidR="00BF00E1" w:rsidRPr="00D73D7D">
        <w:t>OPGC claims the provisional amount of Rs. 0.30 Crore towards recovery of ARR &amp; Tariff Petition Fee and Publication Expenses.</w:t>
      </w:r>
    </w:p>
    <w:p w:rsidR="00BF00E1" w:rsidRPr="00D73D7D" w:rsidRDefault="00D66D52" w:rsidP="00D66D52">
      <w:pPr>
        <w:pStyle w:val="Heading2"/>
      </w:pPr>
      <w:r w:rsidRPr="00D73D7D">
        <w:t xml:space="preserve">Accordingly, the other charges claimed by OPGC </w:t>
      </w:r>
      <w:r w:rsidR="008B0728" w:rsidRPr="00D73D7D">
        <w:t>for FY 2019-20 is as shown in the Table given below:</w:t>
      </w:r>
    </w:p>
    <w:p w:rsidR="00C436D7" w:rsidRPr="00D73D7D" w:rsidRDefault="00C436D7" w:rsidP="00C436D7">
      <w:pPr>
        <w:pStyle w:val="ListParagraph"/>
        <w:numPr>
          <w:ilvl w:val="0"/>
          <w:numId w:val="0"/>
        </w:numPr>
        <w:ind w:left="720"/>
        <w:jc w:val="center"/>
        <w:rPr>
          <w:b/>
          <w:bCs w:val="0"/>
          <w:szCs w:val="24"/>
          <w:lang w:val="en-US"/>
        </w:rPr>
      </w:pPr>
      <w:bookmarkStart w:id="399" w:name="_Toc530497543"/>
      <w:r w:rsidRPr="00D73D7D">
        <w:rPr>
          <w:b/>
          <w:szCs w:val="24"/>
        </w:rPr>
        <w:t xml:space="preserve">Table </w:t>
      </w:r>
      <w:r w:rsidR="00687F74" w:rsidRPr="00D73D7D">
        <w:rPr>
          <w:b/>
          <w:szCs w:val="24"/>
        </w:rPr>
        <w:fldChar w:fldCharType="begin"/>
      </w:r>
      <w:r w:rsidRPr="00D73D7D">
        <w:rPr>
          <w:b/>
          <w:szCs w:val="24"/>
        </w:rPr>
        <w:instrText xml:space="preserve"> STYLEREF 1 \s </w:instrText>
      </w:r>
      <w:r w:rsidR="00687F74" w:rsidRPr="00D73D7D">
        <w:rPr>
          <w:b/>
          <w:szCs w:val="24"/>
        </w:rPr>
        <w:fldChar w:fldCharType="separate"/>
      </w:r>
      <w:r w:rsidR="008A42C7">
        <w:rPr>
          <w:b/>
          <w:noProof/>
          <w:szCs w:val="24"/>
        </w:rPr>
        <w:t>3</w:t>
      </w:r>
      <w:r w:rsidR="00687F74" w:rsidRPr="00D73D7D">
        <w:rPr>
          <w:b/>
          <w:szCs w:val="24"/>
        </w:rPr>
        <w:fldChar w:fldCharType="end"/>
      </w:r>
      <w:r w:rsidRPr="00D73D7D">
        <w:rPr>
          <w:b/>
          <w:szCs w:val="24"/>
        </w:rPr>
        <w:t>.</w:t>
      </w:r>
      <w:r w:rsidR="00687F74" w:rsidRPr="00D73D7D">
        <w:rPr>
          <w:b/>
          <w:szCs w:val="24"/>
        </w:rPr>
        <w:fldChar w:fldCharType="begin"/>
      </w:r>
      <w:r w:rsidRPr="00D73D7D">
        <w:rPr>
          <w:b/>
          <w:szCs w:val="24"/>
        </w:rPr>
        <w:instrText xml:space="preserve"> SEQ Table \* ARABIC \s 1 </w:instrText>
      </w:r>
      <w:r w:rsidR="00687F74" w:rsidRPr="00D73D7D">
        <w:rPr>
          <w:b/>
          <w:szCs w:val="24"/>
        </w:rPr>
        <w:fldChar w:fldCharType="separate"/>
      </w:r>
      <w:r w:rsidR="008A42C7">
        <w:rPr>
          <w:b/>
          <w:noProof/>
          <w:szCs w:val="24"/>
        </w:rPr>
        <w:t>8</w:t>
      </w:r>
      <w:r w:rsidR="00687F74" w:rsidRPr="00D73D7D">
        <w:rPr>
          <w:b/>
          <w:szCs w:val="24"/>
        </w:rPr>
        <w:fldChar w:fldCharType="end"/>
      </w:r>
      <w:r w:rsidRPr="00D73D7D">
        <w:rPr>
          <w:b/>
          <w:szCs w:val="24"/>
        </w:rPr>
        <w:t xml:space="preserve">: </w:t>
      </w:r>
      <w:r w:rsidRPr="00D73D7D">
        <w:rPr>
          <w:b/>
          <w:bCs w:val="0"/>
          <w:szCs w:val="24"/>
          <w:lang w:val="en-US"/>
        </w:rPr>
        <w:t>Other Charges</w:t>
      </w:r>
      <w:r w:rsidR="00056124" w:rsidRPr="00D73D7D">
        <w:rPr>
          <w:b/>
          <w:bCs w:val="0"/>
          <w:szCs w:val="24"/>
          <w:lang w:val="en-US"/>
        </w:rPr>
        <w:t>corresponding to original project cost</w:t>
      </w:r>
      <w:r w:rsidRPr="00D73D7D">
        <w:rPr>
          <w:b/>
          <w:bCs w:val="0"/>
          <w:szCs w:val="24"/>
          <w:lang w:val="en-US"/>
        </w:rPr>
        <w:t xml:space="preserve"> (Rs. Crore)</w:t>
      </w:r>
      <w:bookmarkEnd w:id="399"/>
    </w:p>
    <w:tbl>
      <w:tblPr>
        <w:tblW w:w="7319" w:type="dxa"/>
        <w:jc w:val="center"/>
        <w:tblLook w:val="04A0"/>
      </w:tblPr>
      <w:tblGrid>
        <w:gridCol w:w="720"/>
        <w:gridCol w:w="4300"/>
        <w:gridCol w:w="2299"/>
      </w:tblGrid>
      <w:tr w:rsidR="00C436D7" w:rsidRPr="00D73D7D" w:rsidTr="001F2617">
        <w:trPr>
          <w:trHeight w:val="510"/>
          <w:tblHeader/>
          <w:jc w:val="center"/>
        </w:trPr>
        <w:tc>
          <w:tcPr>
            <w:tcW w:w="720"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hideMark/>
          </w:tcPr>
          <w:p w:rsidR="00C436D7" w:rsidRPr="00D73D7D" w:rsidRDefault="00C436D7" w:rsidP="00C436D7">
            <w:pPr>
              <w:spacing w:line="240" w:lineRule="auto"/>
              <w:jc w:val="center"/>
              <w:rPr>
                <w:rFonts w:eastAsia="Times New Roman"/>
                <w:b/>
                <w:bCs/>
                <w:color w:val="000000"/>
                <w:szCs w:val="24"/>
                <w:lang w:eastAsia="en-IN"/>
              </w:rPr>
            </w:pPr>
            <w:r w:rsidRPr="00D73D7D">
              <w:rPr>
                <w:rFonts w:eastAsia="Times New Roman"/>
                <w:b/>
                <w:bCs/>
                <w:color w:val="000000"/>
                <w:szCs w:val="24"/>
                <w:lang w:eastAsia="en-IN"/>
              </w:rPr>
              <w:t>S. No.</w:t>
            </w:r>
          </w:p>
        </w:tc>
        <w:tc>
          <w:tcPr>
            <w:tcW w:w="4300"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C436D7" w:rsidRPr="00D73D7D" w:rsidRDefault="00C436D7" w:rsidP="00C436D7">
            <w:pPr>
              <w:spacing w:line="240" w:lineRule="auto"/>
              <w:jc w:val="center"/>
              <w:rPr>
                <w:rFonts w:eastAsia="Times New Roman"/>
                <w:b/>
                <w:bCs/>
                <w:color w:val="000000"/>
                <w:szCs w:val="24"/>
                <w:lang w:eastAsia="en-IN"/>
              </w:rPr>
            </w:pPr>
            <w:r w:rsidRPr="00D73D7D">
              <w:rPr>
                <w:rFonts w:eastAsia="Times New Roman"/>
                <w:b/>
                <w:bCs/>
                <w:color w:val="000000"/>
                <w:szCs w:val="24"/>
                <w:lang w:eastAsia="en-IN"/>
              </w:rPr>
              <w:t>Particulars</w:t>
            </w:r>
          </w:p>
        </w:tc>
        <w:tc>
          <w:tcPr>
            <w:tcW w:w="2299" w:type="dxa"/>
            <w:tcBorders>
              <w:top w:val="single" w:sz="4" w:space="0" w:color="auto"/>
              <w:left w:val="nil"/>
              <w:bottom w:val="single" w:sz="4" w:space="0" w:color="auto"/>
              <w:right w:val="single" w:sz="4" w:space="0" w:color="auto"/>
            </w:tcBorders>
            <w:shd w:val="clear" w:color="auto" w:fill="FABF8F" w:themeFill="accent6" w:themeFillTint="99"/>
            <w:vAlign w:val="center"/>
          </w:tcPr>
          <w:p w:rsidR="00C436D7" w:rsidRPr="00D73D7D" w:rsidRDefault="00056124" w:rsidP="00C436D7">
            <w:pPr>
              <w:spacing w:line="240" w:lineRule="auto"/>
              <w:jc w:val="center"/>
              <w:rPr>
                <w:rFonts w:eastAsia="Times New Roman"/>
                <w:b/>
                <w:bCs/>
                <w:szCs w:val="24"/>
                <w:lang w:eastAsia="en-IN"/>
              </w:rPr>
            </w:pPr>
            <w:r w:rsidRPr="00D73D7D">
              <w:rPr>
                <w:rFonts w:eastAsia="Times New Roman"/>
                <w:b/>
                <w:bCs/>
                <w:szCs w:val="24"/>
                <w:lang w:eastAsia="en-IN"/>
              </w:rPr>
              <w:t>FY 2019-20</w:t>
            </w:r>
          </w:p>
        </w:tc>
      </w:tr>
      <w:tr w:rsidR="00C436D7" w:rsidRPr="00D73D7D" w:rsidTr="00C436D7">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436D7" w:rsidRPr="00D73D7D" w:rsidRDefault="00C436D7" w:rsidP="00C436D7">
            <w:pPr>
              <w:spacing w:line="240" w:lineRule="auto"/>
              <w:jc w:val="center"/>
              <w:rPr>
                <w:rFonts w:eastAsia="Times New Roman"/>
                <w:color w:val="000000"/>
                <w:szCs w:val="24"/>
                <w:lang w:eastAsia="en-IN"/>
              </w:rPr>
            </w:pPr>
            <w:r w:rsidRPr="00D73D7D">
              <w:rPr>
                <w:rFonts w:eastAsia="Times New Roman"/>
                <w:color w:val="000000"/>
                <w:szCs w:val="24"/>
                <w:lang w:eastAsia="en-IN"/>
              </w:rPr>
              <w:t>1</w:t>
            </w:r>
          </w:p>
        </w:tc>
        <w:tc>
          <w:tcPr>
            <w:tcW w:w="4300" w:type="dxa"/>
            <w:tcBorders>
              <w:top w:val="nil"/>
              <w:left w:val="nil"/>
              <w:bottom w:val="single" w:sz="4" w:space="0" w:color="auto"/>
              <w:right w:val="single" w:sz="4" w:space="0" w:color="auto"/>
            </w:tcBorders>
            <w:shd w:val="clear" w:color="auto" w:fill="auto"/>
            <w:noWrap/>
            <w:vAlign w:val="center"/>
            <w:hideMark/>
          </w:tcPr>
          <w:p w:rsidR="00C436D7" w:rsidRPr="00D73D7D" w:rsidRDefault="00C436D7" w:rsidP="00C436D7">
            <w:pPr>
              <w:spacing w:line="240" w:lineRule="auto"/>
              <w:jc w:val="left"/>
              <w:rPr>
                <w:rFonts w:eastAsia="Times New Roman"/>
                <w:color w:val="000000"/>
                <w:szCs w:val="24"/>
                <w:lang w:eastAsia="en-IN"/>
              </w:rPr>
            </w:pPr>
            <w:r w:rsidRPr="00D73D7D">
              <w:rPr>
                <w:rFonts w:eastAsia="Times New Roman"/>
                <w:color w:val="000000"/>
                <w:szCs w:val="24"/>
                <w:lang w:eastAsia="en-IN"/>
              </w:rPr>
              <w:t>Electricity Duty</w:t>
            </w:r>
          </w:p>
        </w:tc>
        <w:tc>
          <w:tcPr>
            <w:tcW w:w="2299" w:type="dxa"/>
            <w:tcBorders>
              <w:top w:val="nil"/>
              <w:left w:val="nil"/>
              <w:bottom w:val="single" w:sz="4" w:space="0" w:color="auto"/>
              <w:right w:val="single" w:sz="4" w:space="0" w:color="auto"/>
            </w:tcBorders>
            <w:shd w:val="clear" w:color="auto" w:fill="auto"/>
            <w:noWrap/>
            <w:vAlign w:val="center"/>
            <w:hideMark/>
          </w:tcPr>
          <w:p w:rsidR="00C436D7" w:rsidRPr="00D73D7D" w:rsidRDefault="00866396" w:rsidP="00C436D7">
            <w:pPr>
              <w:spacing w:line="240" w:lineRule="auto"/>
              <w:jc w:val="right"/>
              <w:rPr>
                <w:rFonts w:eastAsia="Times New Roman"/>
                <w:color w:val="000000"/>
                <w:szCs w:val="24"/>
                <w:lang w:eastAsia="en-IN"/>
              </w:rPr>
            </w:pPr>
            <w:r w:rsidRPr="00D73D7D">
              <w:rPr>
                <w:rFonts w:eastAsia="Times New Roman"/>
                <w:color w:val="000000"/>
                <w:szCs w:val="24"/>
                <w:lang w:eastAsia="en-IN"/>
              </w:rPr>
              <w:t>16.50</w:t>
            </w:r>
          </w:p>
        </w:tc>
      </w:tr>
      <w:tr w:rsidR="00C436D7" w:rsidRPr="00D73D7D" w:rsidTr="00C436D7">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436D7" w:rsidRPr="00D73D7D" w:rsidRDefault="00C436D7" w:rsidP="00C436D7">
            <w:pPr>
              <w:spacing w:line="240" w:lineRule="auto"/>
              <w:jc w:val="center"/>
              <w:rPr>
                <w:rFonts w:eastAsia="Times New Roman"/>
                <w:color w:val="000000"/>
                <w:szCs w:val="24"/>
                <w:lang w:eastAsia="en-IN"/>
              </w:rPr>
            </w:pPr>
            <w:r w:rsidRPr="00D73D7D">
              <w:rPr>
                <w:rFonts w:eastAsia="Times New Roman"/>
                <w:color w:val="000000"/>
                <w:szCs w:val="24"/>
                <w:lang w:eastAsia="en-IN"/>
              </w:rPr>
              <w:t>2</w:t>
            </w:r>
          </w:p>
        </w:tc>
        <w:tc>
          <w:tcPr>
            <w:tcW w:w="4300" w:type="dxa"/>
            <w:tcBorders>
              <w:top w:val="nil"/>
              <w:left w:val="nil"/>
              <w:bottom w:val="single" w:sz="4" w:space="0" w:color="auto"/>
              <w:right w:val="single" w:sz="4" w:space="0" w:color="auto"/>
            </w:tcBorders>
            <w:shd w:val="clear" w:color="auto" w:fill="auto"/>
            <w:noWrap/>
            <w:vAlign w:val="center"/>
            <w:hideMark/>
          </w:tcPr>
          <w:p w:rsidR="00C436D7" w:rsidRPr="00D73D7D" w:rsidRDefault="00C436D7" w:rsidP="00C436D7">
            <w:pPr>
              <w:spacing w:line="240" w:lineRule="auto"/>
              <w:jc w:val="left"/>
              <w:rPr>
                <w:rFonts w:eastAsia="Times New Roman"/>
                <w:color w:val="000000"/>
                <w:szCs w:val="24"/>
                <w:lang w:eastAsia="en-IN"/>
              </w:rPr>
            </w:pPr>
            <w:r w:rsidRPr="00D73D7D">
              <w:rPr>
                <w:rFonts w:eastAsia="Times New Roman"/>
                <w:color w:val="000000"/>
                <w:szCs w:val="24"/>
                <w:lang w:eastAsia="en-IN"/>
              </w:rPr>
              <w:t>Water Cess and Water Charges</w:t>
            </w:r>
            <w:r w:rsidR="00481EAC" w:rsidRPr="00D73D7D">
              <w:rPr>
                <w:rFonts w:eastAsia="Times New Roman"/>
                <w:color w:val="000000"/>
                <w:szCs w:val="24"/>
                <w:lang w:eastAsia="en-IN"/>
              </w:rPr>
              <w:t xml:space="preserve"> including Electricity Charges to OHPC</w:t>
            </w:r>
          </w:p>
        </w:tc>
        <w:tc>
          <w:tcPr>
            <w:tcW w:w="2299" w:type="dxa"/>
            <w:tcBorders>
              <w:top w:val="nil"/>
              <w:left w:val="nil"/>
              <w:bottom w:val="single" w:sz="4" w:space="0" w:color="auto"/>
              <w:right w:val="single" w:sz="4" w:space="0" w:color="auto"/>
            </w:tcBorders>
            <w:shd w:val="clear" w:color="auto" w:fill="auto"/>
            <w:noWrap/>
            <w:vAlign w:val="center"/>
            <w:hideMark/>
          </w:tcPr>
          <w:p w:rsidR="00C436D7" w:rsidRPr="00D73D7D" w:rsidRDefault="00481EAC" w:rsidP="00C436D7">
            <w:pPr>
              <w:spacing w:line="240" w:lineRule="auto"/>
              <w:jc w:val="right"/>
              <w:rPr>
                <w:rFonts w:eastAsia="Times New Roman"/>
                <w:color w:val="000000"/>
                <w:szCs w:val="24"/>
                <w:lang w:eastAsia="en-IN"/>
              </w:rPr>
            </w:pPr>
            <w:r w:rsidRPr="00D73D7D">
              <w:rPr>
                <w:rFonts w:eastAsia="Times New Roman"/>
                <w:color w:val="000000"/>
                <w:szCs w:val="24"/>
                <w:lang w:eastAsia="en-IN"/>
              </w:rPr>
              <w:t>11.23</w:t>
            </w:r>
          </w:p>
        </w:tc>
      </w:tr>
      <w:tr w:rsidR="00C436D7" w:rsidRPr="00D73D7D" w:rsidTr="00C436D7">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436D7" w:rsidRPr="00D73D7D" w:rsidRDefault="001F2617" w:rsidP="00C436D7">
            <w:pPr>
              <w:spacing w:line="240" w:lineRule="auto"/>
              <w:jc w:val="center"/>
              <w:rPr>
                <w:rFonts w:eastAsia="Times New Roman"/>
                <w:color w:val="000000"/>
                <w:szCs w:val="24"/>
                <w:lang w:eastAsia="en-IN"/>
              </w:rPr>
            </w:pPr>
            <w:r w:rsidRPr="00D73D7D">
              <w:rPr>
                <w:rFonts w:eastAsia="Times New Roman"/>
                <w:color w:val="000000"/>
                <w:szCs w:val="24"/>
                <w:lang w:eastAsia="en-IN"/>
              </w:rPr>
              <w:t>5</w:t>
            </w:r>
          </w:p>
        </w:tc>
        <w:tc>
          <w:tcPr>
            <w:tcW w:w="4300" w:type="dxa"/>
            <w:tcBorders>
              <w:top w:val="nil"/>
              <w:left w:val="nil"/>
              <w:bottom w:val="single" w:sz="4" w:space="0" w:color="auto"/>
              <w:right w:val="single" w:sz="4" w:space="0" w:color="auto"/>
            </w:tcBorders>
            <w:shd w:val="clear" w:color="auto" w:fill="auto"/>
            <w:noWrap/>
            <w:vAlign w:val="center"/>
            <w:hideMark/>
          </w:tcPr>
          <w:p w:rsidR="00C436D7" w:rsidRPr="00D73D7D" w:rsidRDefault="00C436D7" w:rsidP="00C436D7">
            <w:pPr>
              <w:spacing w:line="240" w:lineRule="auto"/>
              <w:jc w:val="left"/>
              <w:rPr>
                <w:rFonts w:eastAsia="Times New Roman"/>
                <w:color w:val="000000"/>
                <w:szCs w:val="24"/>
                <w:lang w:eastAsia="en-IN"/>
              </w:rPr>
            </w:pPr>
            <w:r w:rsidRPr="00D73D7D">
              <w:rPr>
                <w:rFonts w:eastAsia="Times New Roman"/>
                <w:color w:val="000000"/>
                <w:szCs w:val="24"/>
                <w:lang w:eastAsia="en-IN"/>
              </w:rPr>
              <w:t>Tax and Cess on land</w:t>
            </w:r>
          </w:p>
        </w:tc>
        <w:tc>
          <w:tcPr>
            <w:tcW w:w="2299" w:type="dxa"/>
            <w:tcBorders>
              <w:top w:val="nil"/>
              <w:left w:val="nil"/>
              <w:bottom w:val="single" w:sz="4" w:space="0" w:color="auto"/>
              <w:right w:val="single" w:sz="4" w:space="0" w:color="auto"/>
            </w:tcBorders>
            <w:shd w:val="clear" w:color="auto" w:fill="auto"/>
            <w:noWrap/>
            <w:vAlign w:val="center"/>
            <w:hideMark/>
          </w:tcPr>
          <w:p w:rsidR="00C436D7" w:rsidRPr="00D73D7D" w:rsidRDefault="00C436D7" w:rsidP="00C436D7">
            <w:pPr>
              <w:spacing w:line="240" w:lineRule="auto"/>
              <w:jc w:val="right"/>
              <w:rPr>
                <w:rFonts w:eastAsia="Times New Roman"/>
                <w:color w:val="000000"/>
                <w:szCs w:val="24"/>
                <w:lang w:eastAsia="en-IN"/>
              </w:rPr>
            </w:pPr>
            <w:r w:rsidRPr="00D73D7D">
              <w:rPr>
                <w:rFonts w:eastAsia="Times New Roman"/>
                <w:color w:val="000000"/>
                <w:szCs w:val="24"/>
                <w:lang w:eastAsia="en-IN"/>
              </w:rPr>
              <w:t>0.19</w:t>
            </w:r>
          </w:p>
        </w:tc>
      </w:tr>
      <w:tr w:rsidR="00C436D7" w:rsidRPr="00D73D7D" w:rsidTr="00C436D7">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436D7" w:rsidRPr="00D73D7D" w:rsidRDefault="001F2617" w:rsidP="00C436D7">
            <w:pPr>
              <w:spacing w:line="240" w:lineRule="auto"/>
              <w:jc w:val="center"/>
              <w:rPr>
                <w:rFonts w:eastAsia="Times New Roman"/>
                <w:color w:val="000000"/>
                <w:szCs w:val="24"/>
                <w:lang w:eastAsia="en-IN"/>
              </w:rPr>
            </w:pPr>
            <w:r w:rsidRPr="00D73D7D">
              <w:rPr>
                <w:rFonts w:eastAsia="Times New Roman"/>
                <w:color w:val="000000"/>
                <w:szCs w:val="24"/>
                <w:lang w:eastAsia="en-IN"/>
              </w:rPr>
              <w:t>6</w:t>
            </w:r>
          </w:p>
        </w:tc>
        <w:tc>
          <w:tcPr>
            <w:tcW w:w="4300" w:type="dxa"/>
            <w:tcBorders>
              <w:top w:val="nil"/>
              <w:left w:val="nil"/>
              <w:bottom w:val="single" w:sz="4" w:space="0" w:color="auto"/>
              <w:right w:val="single" w:sz="4" w:space="0" w:color="auto"/>
            </w:tcBorders>
            <w:shd w:val="clear" w:color="auto" w:fill="auto"/>
            <w:noWrap/>
            <w:vAlign w:val="center"/>
            <w:hideMark/>
          </w:tcPr>
          <w:p w:rsidR="00C436D7" w:rsidRPr="00D73D7D" w:rsidRDefault="00C436D7" w:rsidP="00C436D7">
            <w:pPr>
              <w:spacing w:line="240" w:lineRule="auto"/>
              <w:jc w:val="left"/>
              <w:rPr>
                <w:rFonts w:eastAsia="Times New Roman"/>
                <w:color w:val="000000"/>
                <w:szCs w:val="24"/>
                <w:lang w:eastAsia="en-IN"/>
              </w:rPr>
            </w:pPr>
            <w:r w:rsidRPr="00D73D7D">
              <w:rPr>
                <w:rFonts w:eastAsia="Times New Roman"/>
                <w:color w:val="000000"/>
                <w:szCs w:val="24"/>
                <w:lang w:eastAsia="en-IN"/>
              </w:rPr>
              <w:t>SOC and MOC for SLDC</w:t>
            </w:r>
          </w:p>
        </w:tc>
        <w:tc>
          <w:tcPr>
            <w:tcW w:w="2299" w:type="dxa"/>
            <w:tcBorders>
              <w:top w:val="nil"/>
              <w:left w:val="nil"/>
              <w:bottom w:val="single" w:sz="4" w:space="0" w:color="auto"/>
              <w:right w:val="single" w:sz="4" w:space="0" w:color="auto"/>
            </w:tcBorders>
            <w:shd w:val="clear" w:color="auto" w:fill="auto"/>
            <w:noWrap/>
            <w:vAlign w:val="center"/>
            <w:hideMark/>
          </w:tcPr>
          <w:p w:rsidR="00C436D7" w:rsidRPr="00D73D7D" w:rsidRDefault="00C436D7" w:rsidP="00C436D7">
            <w:pPr>
              <w:spacing w:line="240" w:lineRule="auto"/>
              <w:jc w:val="right"/>
              <w:rPr>
                <w:rFonts w:eastAsia="Times New Roman"/>
                <w:color w:val="000000"/>
                <w:szCs w:val="24"/>
                <w:lang w:eastAsia="en-IN"/>
              </w:rPr>
            </w:pPr>
            <w:r w:rsidRPr="00D73D7D">
              <w:rPr>
                <w:rFonts w:eastAsia="Times New Roman"/>
                <w:color w:val="000000"/>
                <w:szCs w:val="24"/>
                <w:lang w:eastAsia="en-IN"/>
              </w:rPr>
              <w:t>0.</w:t>
            </w:r>
            <w:r w:rsidR="001F2617" w:rsidRPr="00D73D7D">
              <w:rPr>
                <w:rFonts w:eastAsia="Times New Roman"/>
                <w:color w:val="000000"/>
                <w:szCs w:val="24"/>
                <w:lang w:eastAsia="en-IN"/>
              </w:rPr>
              <w:t>32</w:t>
            </w:r>
          </w:p>
        </w:tc>
      </w:tr>
      <w:tr w:rsidR="00C436D7" w:rsidRPr="00D73D7D" w:rsidTr="00C436D7">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436D7" w:rsidRPr="00D73D7D" w:rsidRDefault="001F2617" w:rsidP="00C436D7">
            <w:pPr>
              <w:spacing w:line="240" w:lineRule="auto"/>
              <w:jc w:val="center"/>
              <w:rPr>
                <w:rFonts w:eastAsia="Times New Roman"/>
                <w:color w:val="000000"/>
                <w:szCs w:val="24"/>
                <w:lang w:eastAsia="en-IN"/>
              </w:rPr>
            </w:pPr>
            <w:r w:rsidRPr="00D73D7D">
              <w:rPr>
                <w:rFonts w:eastAsia="Times New Roman"/>
                <w:color w:val="000000"/>
                <w:szCs w:val="24"/>
                <w:lang w:eastAsia="en-IN"/>
              </w:rPr>
              <w:t>7</w:t>
            </w:r>
          </w:p>
        </w:tc>
        <w:tc>
          <w:tcPr>
            <w:tcW w:w="4300" w:type="dxa"/>
            <w:tcBorders>
              <w:top w:val="nil"/>
              <w:left w:val="nil"/>
              <w:bottom w:val="single" w:sz="4" w:space="0" w:color="auto"/>
              <w:right w:val="single" w:sz="4" w:space="0" w:color="auto"/>
            </w:tcBorders>
            <w:shd w:val="clear" w:color="auto" w:fill="auto"/>
            <w:noWrap/>
            <w:vAlign w:val="center"/>
            <w:hideMark/>
          </w:tcPr>
          <w:p w:rsidR="00C436D7" w:rsidRPr="00D73D7D" w:rsidRDefault="00C436D7" w:rsidP="00C436D7">
            <w:pPr>
              <w:spacing w:line="240" w:lineRule="auto"/>
              <w:jc w:val="left"/>
              <w:rPr>
                <w:rFonts w:eastAsia="Times New Roman"/>
                <w:color w:val="000000"/>
                <w:szCs w:val="24"/>
                <w:lang w:eastAsia="en-IN"/>
              </w:rPr>
            </w:pPr>
            <w:r w:rsidRPr="00D73D7D">
              <w:rPr>
                <w:rFonts w:eastAsia="Times New Roman"/>
                <w:color w:val="000000"/>
                <w:szCs w:val="24"/>
                <w:lang w:eastAsia="en-IN"/>
              </w:rPr>
              <w:t>ERPC Charges</w:t>
            </w:r>
          </w:p>
        </w:tc>
        <w:tc>
          <w:tcPr>
            <w:tcW w:w="2299" w:type="dxa"/>
            <w:tcBorders>
              <w:top w:val="nil"/>
              <w:left w:val="nil"/>
              <w:bottom w:val="single" w:sz="4" w:space="0" w:color="auto"/>
              <w:right w:val="single" w:sz="4" w:space="0" w:color="auto"/>
            </w:tcBorders>
            <w:shd w:val="clear" w:color="auto" w:fill="auto"/>
            <w:noWrap/>
            <w:vAlign w:val="center"/>
            <w:hideMark/>
          </w:tcPr>
          <w:p w:rsidR="00C436D7" w:rsidRPr="00D73D7D" w:rsidRDefault="00C436D7" w:rsidP="00C436D7">
            <w:pPr>
              <w:spacing w:line="240" w:lineRule="auto"/>
              <w:jc w:val="right"/>
              <w:rPr>
                <w:rFonts w:eastAsia="Times New Roman"/>
                <w:color w:val="000000"/>
                <w:szCs w:val="24"/>
                <w:lang w:eastAsia="en-IN"/>
              </w:rPr>
            </w:pPr>
            <w:r w:rsidRPr="00D73D7D">
              <w:rPr>
                <w:rFonts w:eastAsia="Times New Roman"/>
                <w:color w:val="000000"/>
                <w:szCs w:val="24"/>
                <w:lang w:eastAsia="en-IN"/>
              </w:rPr>
              <w:t>0.16</w:t>
            </w:r>
          </w:p>
        </w:tc>
      </w:tr>
      <w:tr w:rsidR="00C436D7" w:rsidRPr="00D73D7D" w:rsidTr="00C436D7">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436D7" w:rsidRPr="00D73D7D" w:rsidRDefault="001F2617" w:rsidP="00C436D7">
            <w:pPr>
              <w:spacing w:line="240" w:lineRule="auto"/>
              <w:jc w:val="center"/>
              <w:rPr>
                <w:rFonts w:eastAsia="Times New Roman"/>
                <w:color w:val="000000"/>
                <w:szCs w:val="24"/>
                <w:lang w:eastAsia="en-IN"/>
              </w:rPr>
            </w:pPr>
            <w:r w:rsidRPr="00D73D7D">
              <w:rPr>
                <w:rFonts w:eastAsia="Times New Roman"/>
                <w:color w:val="000000"/>
                <w:szCs w:val="24"/>
                <w:lang w:eastAsia="en-IN"/>
              </w:rPr>
              <w:t>8</w:t>
            </w:r>
          </w:p>
        </w:tc>
        <w:tc>
          <w:tcPr>
            <w:tcW w:w="4300" w:type="dxa"/>
            <w:tcBorders>
              <w:top w:val="nil"/>
              <w:left w:val="nil"/>
              <w:bottom w:val="single" w:sz="4" w:space="0" w:color="auto"/>
              <w:right w:val="single" w:sz="4" w:space="0" w:color="auto"/>
            </w:tcBorders>
            <w:shd w:val="clear" w:color="auto" w:fill="auto"/>
            <w:noWrap/>
            <w:vAlign w:val="center"/>
            <w:hideMark/>
          </w:tcPr>
          <w:p w:rsidR="00C436D7" w:rsidRPr="00D73D7D" w:rsidRDefault="00C436D7" w:rsidP="00C436D7">
            <w:pPr>
              <w:spacing w:line="240" w:lineRule="auto"/>
              <w:jc w:val="left"/>
              <w:rPr>
                <w:rFonts w:eastAsia="Times New Roman"/>
                <w:color w:val="000000"/>
                <w:szCs w:val="24"/>
                <w:lang w:eastAsia="en-IN"/>
              </w:rPr>
            </w:pPr>
            <w:r w:rsidRPr="00D73D7D">
              <w:rPr>
                <w:rFonts w:eastAsia="Times New Roman"/>
                <w:color w:val="000000"/>
                <w:szCs w:val="24"/>
                <w:lang w:eastAsia="en-IN"/>
              </w:rPr>
              <w:t>Income Tax</w:t>
            </w:r>
          </w:p>
        </w:tc>
        <w:tc>
          <w:tcPr>
            <w:tcW w:w="2299" w:type="dxa"/>
            <w:tcBorders>
              <w:top w:val="nil"/>
              <w:left w:val="nil"/>
              <w:bottom w:val="single" w:sz="4" w:space="0" w:color="auto"/>
              <w:right w:val="single" w:sz="4" w:space="0" w:color="auto"/>
            </w:tcBorders>
            <w:shd w:val="clear" w:color="auto" w:fill="auto"/>
            <w:noWrap/>
            <w:vAlign w:val="center"/>
            <w:hideMark/>
          </w:tcPr>
          <w:p w:rsidR="00C436D7" w:rsidRPr="00D73D7D" w:rsidRDefault="00C436D7" w:rsidP="00C436D7">
            <w:pPr>
              <w:spacing w:line="240" w:lineRule="auto"/>
              <w:jc w:val="right"/>
              <w:rPr>
                <w:rFonts w:eastAsia="Times New Roman"/>
                <w:color w:val="000000"/>
                <w:szCs w:val="24"/>
                <w:lang w:eastAsia="en-IN"/>
              </w:rPr>
            </w:pPr>
            <w:r w:rsidRPr="00D73D7D">
              <w:rPr>
                <w:rFonts w:eastAsia="Times New Roman"/>
                <w:color w:val="000000"/>
                <w:szCs w:val="24"/>
                <w:lang w:eastAsia="en-IN"/>
              </w:rPr>
              <w:t>38.67</w:t>
            </w:r>
          </w:p>
        </w:tc>
      </w:tr>
      <w:tr w:rsidR="00DB21E9" w:rsidRPr="00C436D7" w:rsidTr="00C436D7">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DB21E9" w:rsidRPr="00D73D7D" w:rsidRDefault="001F2617" w:rsidP="00C436D7">
            <w:pPr>
              <w:spacing w:line="240" w:lineRule="auto"/>
              <w:jc w:val="center"/>
              <w:rPr>
                <w:rFonts w:eastAsia="Times New Roman"/>
                <w:color w:val="000000"/>
                <w:szCs w:val="24"/>
                <w:lang w:eastAsia="en-IN"/>
              </w:rPr>
            </w:pPr>
            <w:r w:rsidRPr="00D73D7D">
              <w:rPr>
                <w:rFonts w:eastAsia="Times New Roman"/>
                <w:color w:val="000000"/>
                <w:szCs w:val="24"/>
                <w:lang w:eastAsia="en-IN"/>
              </w:rPr>
              <w:t>9</w:t>
            </w:r>
          </w:p>
        </w:tc>
        <w:tc>
          <w:tcPr>
            <w:tcW w:w="4300" w:type="dxa"/>
            <w:tcBorders>
              <w:top w:val="nil"/>
              <w:left w:val="nil"/>
              <w:bottom w:val="single" w:sz="4" w:space="0" w:color="auto"/>
              <w:right w:val="single" w:sz="4" w:space="0" w:color="auto"/>
            </w:tcBorders>
            <w:shd w:val="clear" w:color="auto" w:fill="auto"/>
            <w:noWrap/>
            <w:vAlign w:val="center"/>
            <w:hideMark/>
          </w:tcPr>
          <w:p w:rsidR="00DB21E9" w:rsidRPr="00D73D7D" w:rsidRDefault="00DB21E9" w:rsidP="00C436D7">
            <w:pPr>
              <w:spacing w:line="240" w:lineRule="auto"/>
              <w:jc w:val="left"/>
              <w:rPr>
                <w:rFonts w:eastAsia="Times New Roman"/>
                <w:color w:val="000000"/>
                <w:szCs w:val="24"/>
                <w:lang w:eastAsia="en-IN"/>
              </w:rPr>
            </w:pPr>
            <w:r w:rsidRPr="00D73D7D">
              <w:rPr>
                <w:b/>
              </w:rPr>
              <w:t>Water Conservation Fund</w:t>
            </w:r>
          </w:p>
        </w:tc>
        <w:tc>
          <w:tcPr>
            <w:tcW w:w="2299" w:type="dxa"/>
            <w:tcBorders>
              <w:top w:val="nil"/>
              <w:left w:val="nil"/>
              <w:bottom w:val="single" w:sz="4" w:space="0" w:color="auto"/>
              <w:right w:val="single" w:sz="4" w:space="0" w:color="auto"/>
            </w:tcBorders>
            <w:shd w:val="clear" w:color="auto" w:fill="auto"/>
            <w:noWrap/>
            <w:vAlign w:val="center"/>
            <w:hideMark/>
          </w:tcPr>
          <w:p w:rsidR="00DB21E9" w:rsidRPr="00C436D7" w:rsidRDefault="00481EAC" w:rsidP="00C436D7">
            <w:pPr>
              <w:spacing w:line="240" w:lineRule="auto"/>
              <w:jc w:val="right"/>
              <w:rPr>
                <w:rFonts w:eastAsia="Times New Roman"/>
                <w:color w:val="000000"/>
                <w:szCs w:val="24"/>
                <w:lang w:eastAsia="en-IN"/>
              </w:rPr>
            </w:pPr>
            <w:r w:rsidRPr="00D73D7D">
              <w:rPr>
                <w:rFonts w:eastAsia="Times New Roman"/>
                <w:color w:val="000000"/>
                <w:szCs w:val="24"/>
                <w:lang w:eastAsia="en-IN"/>
              </w:rPr>
              <w:t>6.13</w:t>
            </w:r>
          </w:p>
        </w:tc>
      </w:tr>
      <w:tr w:rsidR="00C436D7" w:rsidRPr="00C436D7" w:rsidTr="00C436D7">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436D7" w:rsidRPr="00C436D7" w:rsidRDefault="001F2617" w:rsidP="00C436D7">
            <w:pPr>
              <w:spacing w:line="240" w:lineRule="auto"/>
              <w:jc w:val="center"/>
              <w:rPr>
                <w:rFonts w:eastAsia="Times New Roman"/>
                <w:color w:val="000000"/>
                <w:szCs w:val="24"/>
                <w:lang w:eastAsia="en-IN"/>
              </w:rPr>
            </w:pPr>
            <w:r>
              <w:rPr>
                <w:rFonts w:eastAsia="Times New Roman"/>
                <w:color w:val="000000"/>
                <w:szCs w:val="24"/>
                <w:lang w:eastAsia="en-IN"/>
              </w:rPr>
              <w:t>10</w:t>
            </w:r>
          </w:p>
        </w:tc>
        <w:tc>
          <w:tcPr>
            <w:tcW w:w="4300" w:type="dxa"/>
            <w:tcBorders>
              <w:top w:val="nil"/>
              <w:left w:val="nil"/>
              <w:bottom w:val="single" w:sz="4" w:space="0" w:color="auto"/>
              <w:right w:val="single" w:sz="4" w:space="0" w:color="auto"/>
            </w:tcBorders>
            <w:shd w:val="clear" w:color="auto" w:fill="auto"/>
            <w:noWrap/>
            <w:vAlign w:val="center"/>
            <w:hideMark/>
          </w:tcPr>
          <w:p w:rsidR="00C436D7" w:rsidRPr="00C436D7" w:rsidRDefault="00C436D7" w:rsidP="00C436D7">
            <w:pPr>
              <w:spacing w:line="240" w:lineRule="auto"/>
              <w:jc w:val="left"/>
              <w:rPr>
                <w:rFonts w:eastAsia="Times New Roman"/>
                <w:color w:val="000000"/>
                <w:szCs w:val="24"/>
                <w:lang w:eastAsia="en-IN"/>
              </w:rPr>
            </w:pPr>
            <w:r w:rsidRPr="00C436D7">
              <w:rPr>
                <w:rFonts w:eastAsia="Times New Roman"/>
                <w:color w:val="000000"/>
                <w:szCs w:val="24"/>
                <w:lang w:eastAsia="en-IN"/>
              </w:rPr>
              <w:t>Recovery of ARR &amp; Tariff Petition Fee</w:t>
            </w:r>
          </w:p>
        </w:tc>
        <w:tc>
          <w:tcPr>
            <w:tcW w:w="2299" w:type="dxa"/>
            <w:tcBorders>
              <w:top w:val="nil"/>
              <w:left w:val="nil"/>
              <w:bottom w:val="single" w:sz="4" w:space="0" w:color="auto"/>
              <w:right w:val="single" w:sz="4" w:space="0" w:color="auto"/>
            </w:tcBorders>
            <w:shd w:val="clear" w:color="auto" w:fill="auto"/>
            <w:noWrap/>
            <w:vAlign w:val="center"/>
            <w:hideMark/>
          </w:tcPr>
          <w:p w:rsidR="00C436D7" w:rsidRPr="00C436D7" w:rsidRDefault="00C436D7" w:rsidP="00C436D7">
            <w:pPr>
              <w:spacing w:line="240" w:lineRule="auto"/>
              <w:jc w:val="right"/>
              <w:rPr>
                <w:rFonts w:eastAsia="Times New Roman"/>
                <w:color w:val="000000"/>
                <w:szCs w:val="24"/>
                <w:lang w:eastAsia="en-IN"/>
              </w:rPr>
            </w:pPr>
            <w:r w:rsidRPr="00C436D7">
              <w:rPr>
                <w:rFonts w:eastAsia="Times New Roman"/>
                <w:color w:val="000000"/>
                <w:szCs w:val="24"/>
                <w:lang w:eastAsia="en-IN"/>
              </w:rPr>
              <w:t>0.30</w:t>
            </w:r>
          </w:p>
        </w:tc>
      </w:tr>
      <w:tr w:rsidR="00C436D7" w:rsidRPr="00C436D7" w:rsidTr="00C436D7">
        <w:trPr>
          <w:trHeight w:val="3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436D7" w:rsidRPr="00C436D7" w:rsidRDefault="00C436D7" w:rsidP="00C436D7">
            <w:pPr>
              <w:spacing w:line="240" w:lineRule="auto"/>
              <w:jc w:val="center"/>
              <w:rPr>
                <w:rFonts w:eastAsia="Times New Roman"/>
                <w:color w:val="000000"/>
                <w:szCs w:val="24"/>
                <w:lang w:eastAsia="en-IN"/>
              </w:rPr>
            </w:pPr>
            <w:r w:rsidRPr="00C436D7">
              <w:rPr>
                <w:rFonts w:eastAsia="Times New Roman"/>
                <w:color w:val="000000"/>
                <w:szCs w:val="24"/>
                <w:lang w:eastAsia="en-IN"/>
              </w:rPr>
              <w:t> </w:t>
            </w:r>
          </w:p>
        </w:tc>
        <w:tc>
          <w:tcPr>
            <w:tcW w:w="4300" w:type="dxa"/>
            <w:tcBorders>
              <w:top w:val="nil"/>
              <w:left w:val="nil"/>
              <w:bottom w:val="single" w:sz="4" w:space="0" w:color="auto"/>
              <w:right w:val="single" w:sz="4" w:space="0" w:color="auto"/>
            </w:tcBorders>
            <w:shd w:val="clear" w:color="auto" w:fill="auto"/>
            <w:noWrap/>
            <w:vAlign w:val="center"/>
            <w:hideMark/>
          </w:tcPr>
          <w:p w:rsidR="00C436D7" w:rsidRPr="00C436D7" w:rsidRDefault="00C436D7" w:rsidP="00C436D7">
            <w:pPr>
              <w:spacing w:line="240" w:lineRule="auto"/>
              <w:jc w:val="center"/>
              <w:rPr>
                <w:rFonts w:eastAsia="Times New Roman"/>
                <w:b/>
                <w:bCs/>
                <w:color w:val="000000"/>
                <w:szCs w:val="24"/>
                <w:lang w:eastAsia="en-IN"/>
              </w:rPr>
            </w:pPr>
            <w:r w:rsidRPr="00C436D7">
              <w:rPr>
                <w:rFonts w:eastAsia="Times New Roman"/>
                <w:b/>
                <w:bCs/>
                <w:color w:val="000000"/>
                <w:szCs w:val="24"/>
                <w:lang w:eastAsia="en-IN"/>
              </w:rPr>
              <w:t>Total</w:t>
            </w:r>
          </w:p>
        </w:tc>
        <w:tc>
          <w:tcPr>
            <w:tcW w:w="2299" w:type="dxa"/>
            <w:tcBorders>
              <w:top w:val="nil"/>
              <w:left w:val="nil"/>
              <w:bottom w:val="single" w:sz="4" w:space="0" w:color="auto"/>
              <w:right w:val="single" w:sz="4" w:space="0" w:color="auto"/>
            </w:tcBorders>
            <w:shd w:val="clear" w:color="auto" w:fill="auto"/>
            <w:noWrap/>
            <w:vAlign w:val="center"/>
            <w:hideMark/>
          </w:tcPr>
          <w:p w:rsidR="00C436D7" w:rsidRPr="00C436D7" w:rsidRDefault="00481EAC" w:rsidP="00C436D7">
            <w:pPr>
              <w:spacing w:line="240" w:lineRule="auto"/>
              <w:jc w:val="right"/>
              <w:rPr>
                <w:rFonts w:eastAsia="Times New Roman"/>
                <w:b/>
                <w:bCs/>
                <w:color w:val="000000"/>
                <w:szCs w:val="24"/>
                <w:lang w:eastAsia="en-IN"/>
              </w:rPr>
            </w:pPr>
            <w:r>
              <w:rPr>
                <w:rFonts w:eastAsia="Times New Roman"/>
                <w:b/>
                <w:bCs/>
                <w:color w:val="000000"/>
                <w:szCs w:val="24"/>
                <w:lang w:eastAsia="en-IN"/>
              </w:rPr>
              <w:t>7</w:t>
            </w:r>
            <w:r w:rsidR="00866396">
              <w:rPr>
                <w:rFonts w:eastAsia="Times New Roman"/>
                <w:b/>
                <w:bCs/>
                <w:color w:val="000000"/>
                <w:szCs w:val="24"/>
                <w:lang w:eastAsia="en-IN"/>
              </w:rPr>
              <w:t>3</w:t>
            </w:r>
            <w:r>
              <w:rPr>
                <w:rFonts w:eastAsia="Times New Roman"/>
                <w:b/>
                <w:bCs/>
                <w:color w:val="000000"/>
                <w:szCs w:val="24"/>
                <w:lang w:eastAsia="en-IN"/>
              </w:rPr>
              <w:t>.</w:t>
            </w:r>
            <w:r w:rsidR="00866396">
              <w:rPr>
                <w:rFonts w:eastAsia="Times New Roman"/>
                <w:b/>
                <w:bCs/>
                <w:color w:val="000000"/>
                <w:szCs w:val="24"/>
                <w:lang w:eastAsia="en-IN"/>
              </w:rPr>
              <w:t>5</w:t>
            </w:r>
            <w:r>
              <w:rPr>
                <w:rFonts w:eastAsia="Times New Roman"/>
                <w:b/>
                <w:bCs/>
                <w:color w:val="000000"/>
                <w:szCs w:val="24"/>
                <w:lang w:eastAsia="en-IN"/>
              </w:rPr>
              <w:t>1</w:t>
            </w:r>
          </w:p>
        </w:tc>
      </w:tr>
    </w:tbl>
    <w:p w:rsidR="00C436D7" w:rsidRPr="008B0728" w:rsidRDefault="00C436D7" w:rsidP="008B0728">
      <w:pPr>
        <w:rPr>
          <w:lang w:val="en-GB"/>
        </w:rPr>
      </w:pPr>
    </w:p>
    <w:p w:rsidR="001F0B10" w:rsidRDefault="00C332BA" w:rsidP="00303BE2">
      <w:pPr>
        <w:pStyle w:val="Heading2"/>
      </w:pPr>
      <w:r>
        <w:t xml:space="preserve">OPGC requests the Hon’ble Commission to provisionally approve the other charges of Rs. </w:t>
      </w:r>
      <w:r w:rsidR="00481EAC" w:rsidRPr="005475E3">
        <w:t>7</w:t>
      </w:r>
      <w:r w:rsidR="00866396" w:rsidRPr="005475E3">
        <w:t>3</w:t>
      </w:r>
      <w:r w:rsidR="00481EAC" w:rsidRPr="005475E3">
        <w:t>.</w:t>
      </w:r>
      <w:r w:rsidR="00866396" w:rsidRPr="005475E3">
        <w:t>5</w:t>
      </w:r>
      <w:r w:rsidR="00481EAC" w:rsidRPr="005475E3">
        <w:t>1</w:t>
      </w:r>
      <w:r w:rsidRPr="005475E3">
        <w:t xml:space="preserve"> Crore. OPGC further requests the Hon’ble Commission to direct GRIDCO Ltd. to</w:t>
      </w:r>
      <w:r>
        <w:t xml:space="preserve"> reimburse the other charges on actual basis</w:t>
      </w:r>
      <w:r w:rsidR="005B1F57">
        <w:t xml:space="preserve"> </w:t>
      </w:r>
      <w:r w:rsidR="001F0B10">
        <w:t xml:space="preserve">incurred </w:t>
      </w:r>
      <w:r w:rsidR="00F26F4B">
        <w:t>during</w:t>
      </w:r>
      <w:r w:rsidR="001F0B10">
        <w:t xml:space="preserve"> the year.</w:t>
      </w:r>
    </w:p>
    <w:p w:rsidR="00B45C2C" w:rsidRDefault="00B45C2C">
      <w:pPr>
        <w:spacing w:line="240" w:lineRule="auto"/>
        <w:jc w:val="left"/>
        <w:rPr>
          <w:lang w:val="en-GB"/>
        </w:rPr>
      </w:pPr>
      <w:r>
        <w:rPr>
          <w:lang w:val="en-GB"/>
        </w:rPr>
        <w:br w:type="page"/>
      </w:r>
    </w:p>
    <w:p w:rsidR="00153A32" w:rsidRDefault="00153A32" w:rsidP="00153A32">
      <w:pPr>
        <w:rPr>
          <w:lang w:val="en-GB"/>
        </w:rPr>
      </w:pPr>
    </w:p>
    <w:p w:rsidR="00B45C2C" w:rsidRPr="00F972D7" w:rsidRDefault="00BC137C" w:rsidP="00B45C2C">
      <w:pPr>
        <w:pStyle w:val="Heading1"/>
        <w:spacing w:before="0"/>
      </w:pPr>
      <w:bookmarkStart w:id="400" w:name="_Toc530497532"/>
      <w:r>
        <w:t>A</w:t>
      </w:r>
      <w:r w:rsidR="002A567F">
        <w:t xml:space="preserve">dditional </w:t>
      </w:r>
      <w:r>
        <w:t>C</w:t>
      </w:r>
      <w:r w:rsidR="002A567F">
        <w:t>apitalisation</w:t>
      </w:r>
      <w:r w:rsidR="001D3F0C">
        <w:t xml:space="preserve"> for FY 2019-20</w:t>
      </w:r>
      <w:bookmarkEnd w:id="400"/>
    </w:p>
    <w:p w:rsidR="00B45C2C" w:rsidRPr="00F972D7" w:rsidRDefault="00B45C2C" w:rsidP="00B45C2C">
      <w:pPr>
        <w:widowControl w:val="0"/>
      </w:pPr>
    </w:p>
    <w:p w:rsidR="00B45C2C" w:rsidRDefault="00B45C2C" w:rsidP="00B45C2C">
      <w:pPr>
        <w:pStyle w:val="ListParagraph"/>
        <w:numPr>
          <w:ilvl w:val="0"/>
          <w:numId w:val="14"/>
        </w:numPr>
        <w:rPr>
          <w:vanish/>
          <w:kern w:val="32"/>
        </w:rPr>
      </w:pPr>
    </w:p>
    <w:p w:rsidR="00B45C2C" w:rsidRDefault="00B45C2C" w:rsidP="00B45C2C">
      <w:pPr>
        <w:pStyle w:val="ListParagraph"/>
        <w:numPr>
          <w:ilvl w:val="0"/>
          <w:numId w:val="14"/>
        </w:numPr>
        <w:rPr>
          <w:vanish/>
          <w:kern w:val="32"/>
        </w:rPr>
      </w:pPr>
    </w:p>
    <w:p w:rsidR="00B45C2C" w:rsidRPr="00F972D7" w:rsidRDefault="00BC137C" w:rsidP="00B45C2C">
      <w:pPr>
        <w:pStyle w:val="Heading2"/>
        <w:numPr>
          <w:ilvl w:val="0"/>
          <w:numId w:val="0"/>
        </w:numPr>
        <w:ind w:left="90"/>
        <w:rPr>
          <w:rFonts w:eastAsia="Calibri"/>
          <w:b/>
          <w:bCs w:val="0"/>
          <w:i/>
          <w:iCs w:val="0"/>
          <w:szCs w:val="24"/>
          <w:lang w:val="en-IN"/>
        </w:rPr>
      </w:pPr>
      <w:r>
        <w:rPr>
          <w:rFonts w:eastAsia="Calibri"/>
          <w:b/>
          <w:bCs w:val="0"/>
          <w:i/>
          <w:iCs w:val="0"/>
          <w:szCs w:val="24"/>
          <w:lang w:val="en-IN"/>
        </w:rPr>
        <w:t>Additional Capitalisation</w:t>
      </w:r>
      <w:r w:rsidR="00F50DDF">
        <w:rPr>
          <w:rFonts w:eastAsia="Calibri"/>
          <w:b/>
          <w:bCs w:val="0"/>
          <w:i/>
          <w:iCs w:val="0"/>
          <w:szCs w:val="24"/>
          <w:lang w:val="en-IN"/>
        </w:rPr>
        <w:t xml:space="preserve"> for FY 2015-16, FY 2016-17, FY 2017-18 &amp; FY 2018-19</w:t>
      </w:r>
    </w:p>
    <w:p w:rsidR="00B45C2C" w:rsidRDefault="00F50DDF" w:rsidP="00B45C2C">
      <w:pPr>
        <w:pStyle w:val="Heading2"/>
      </w:pPr>
      <w:r>
        <w:t>OPGC has claimed the total additional capitalisation of Rs. 128.07 Crore for FY 2015-16, FY 2016-17, FY 2017-18 and FY 2018-19.</w:t>
      </w:r>
      <w:r w:rsidR="00F6771F">
        <w:t xml:space="preserve"> For the sake of </w:t>
      </w:r>
      <w:r w:rsidR="00F6771F" w:rsidRPr="00F426B3">
        <w:t>brevity</w:t>
      </w:r>
      <w:r w:rsidR="00F6771F">
        <w:t xml:space="preserve">, the details of the additional capitalisation </w:t>
      </w:r>
      <w:r w:rsidR="00B47DE6">
        <w:t>claimed in Case No. 54 of 2018 are not repeated in this Petition.</w:t>
      </w:r>
      <w:r w:rsidR="00A95202">
        <w:t xml:space="preserve"> OPGC requests the Hon’ble Commission to consider OPGC’s submissions in the said Petition and approve the additional capitalisation for the respective years as claimed.</w:t>
      </w:r>
    </w:p>
    <w:p w:rsidR="00F6771F" w:rsidRDefault="00F6771F" w:rsidP="00F6771F">
      <w:pPr>
        <w:rPr>
          <w:lang w:val="en-GB"/>
        </w:rPr>
      </w:pPr>
    </w:p>
    <w:p w:rsidR="00F6771F" w:rsidRPr="00720948" w:rsidRDefault="00F6771F" w:rsidP="00F6771F">
      <w:pPr>
        <w:rPr>
          <w:b/>
          <w:i/>
          <w:lang w:val="en-GB"/>
        </w:rPr>
      </w:pPr>
      <w:r w:rsidRPr="00720948">
        <w:rPr>
          <w:b/>
          <w:i/>
          <w:lang w:val="en-GB"/>
        </w:rPr>
        <w:t xml:space="preserve">Additional Capitalisation for </w:t>
      </w:r>
      <w:r w:rsidR="008D49AF" w:rsidRPr="00720948">
        <w:rPr>
          <w:b/>
          <w:i/>
          <w:lang w:val="en-GB"/>
        </w:rPr>
        <w:t>FY 2019-20</w:t>
      </w:r>
    </w:p>
    <w:p w:rsidR="008D49AF" w:rsidRDefault="000C3207" w:rsidP="00551378">
      <w:pPr>
        <w:pStyle w:val="Heading2"/>
      </w:pPr>
      <w:bookmarkStart w:id="401" w:name="_Toc436552897"/>
      <w:r>
        <w:t>T</w:t>
      </w:r>
      <w:r w:rsidRPr="00F972D7">
        <w:t>he Hon’ble OERC</w:t>
      </w:r>
      <w:r w:rsidR="005B1F57">
        <w:t xml:space="preserve"> </w:t>
      </w:r>
      <w:r w:rsidRPr="00F972D7">
        <w:t>notified the Terms &amp; Conditions for Determination of Generation Tariff Regulations, 2014</w:t>
      </w:r>
      <w:r>
        <w:t xml:space="preserve"> (“2014 Tariff Regulations”) </w:t>
      </w:r>
      <w:r w:rsidRPr="00F972D7">
        <w:t>on September 8, 2014</w:t>
      </w:r>
      <w:r w:rsidR="005B1F57">
        <w:t xml:space="preserve"> </w:t>
      </w:r>
      <w:r w:rsidRPr="00F972D7">
        <w:t xml:space="preserve">in exercise of the powers conferred by Section 61 and Section 62 read with Section 181 of the Act. These Regulations are </w:t>
      </w:r>
      <w:r>
        <w:t xml:space="preserve">applicable for the </w:t>
      </w:r>
      <w:r w:rsidR="00DB7B93">
        <w:t xml:space="preserve">MYT </w:t>
      </w:r>
      <w:r>
        <w:t>Control Period</w:t>
      </w:r>
      <w:r w:rsidRPr="00F972D7">
        <w:t xml:space="preserve"> from FY 2014-15 to FY 2018-19.</w:t>
      </w:r>
      <w:bookmarkEnd w:id="401"/>
      <w:r w:rsidR="00800D5B">
        <w:t xml:space="preserve"> The</w:t>
      </w:r>
      <w:r w:rsidR="005B1F57">
        <w:t xml:space="preserve"> </w:t>
      </w:r>
      <w:r w:rsidR="00B41D90">
        <w:t xml:space="preserve">Hon’ble OERC may notify the Tariff Regulations for the </w:t>
      </w:r>
      <w:r w:rsidR="006D0E0B">
        <w:t xml:space="preserve">MYT </w:t>
      </w:r>
      <w:r w:rsidR="00B41D90">
        <w:t>Control Period commencing from April 1, 2019</w:t>
      </w:r>
      <w:r w:rsidR="00994A97">
        <w:t>,</w:t>
      </w:r>
      <w:r w:rsidR="00B41D90">
        <w:t xml:space="preserve"> in due course of time.</w:t>
      </w:r>
      <w:r w:rsidR="005B1F57">
        <w:t xml:space="preserve"> </w:t>
      </w:r>
      <w:r w:rsidR="00EB6340">
        <w:t xml:space="preserve">OPGC is hopeful that the </w:t>
      </w:r>
      <w:r w:rsidR="00E431DE">
        <w:t xml:space="preserve">Hon’ble OERC retains the framework of approval of additional capitalisation </w:t>
      </w:r>
      <w:r w:rsidR="000B4266">
        <w:t>as specified in its 2014 Tariff Regulations, for the next Control Period also.</w:t>
      </w:r>
      <w:r w:rsidR="001D71A3">
        <w:t xml:space="preserve">Therefore, </w:t>
      </w:r>
      <w:r w:rsidR="00B340B2">
        <w:t xml:space="preserve">OPGC is </w:t>
      </w:r>
      <w:r w:rsidR="00762547">
        <w:t>relying on</w:t>
      </w:r>
      <w:r w:rsidR="00B340B2">
        <w:t xml:space="preserve"> the provisions of the </w:t>
      </w:r>
      <w:r w:rsidR="006C4389">
        <w:t xml:space="preserve">2014 Tariff Regulations </w:t>
      </w:r>
      <w:r w:rsidR="0083536B">
        <w:t xml:space="preserve">for claiming the proposed additional capitalisation </w:t>
      </w:r>
      <w:r w:rsidR="00762547">
        <w:t>for FY 2019-20 in this Petition</w:t>
      </w:r>
      <w:r w:rsidR="00A504EB">
        <w:t>, pending notification of Tariff Regulation applicable for the period 2019-20</w:t>
      </w:r>
      <w:r w:rsidR="00762547">
        <w:t>.</w:t>
      </w:r>
    </w:p>
    <w:p w:rsidR="00F86CC8" w:rsidRDefault="00F86CC8" w:rsidP="00F86CC8">
      <w:pPr>
        <w:rPr>
          <w:lang w:val="en-GB"/>
        </w:rPr>
      </w:pPr>
    </w:p>
    <w:p w:rsidR="00F86CC8" w:rsidRDefault="00F86CC8" w:rsidP="00F86CC8">
      <w:pPr>
        <w:pStyle w:val="Heading2"/>
      </w:pPr>
      <w:r>
        <w:t xml:space="preserve">The 2014 Tariff Regulations define “Additional Capitalisation” as the capital expenditure incurred or </w:t>
      </w:r>
      <w:r w:rsidRPr="001D0EEE">
        <w:rPr>
          <w:b/>
        </w:rPr>
        <w:t>projected to be incurred</w:t>
      </w:r>
      <w:r>
        <w:t>, after the date of commercial operation of the project and after cut-off date and admitted by the Commission after prudence check subject to Regulation 3.4.</w:t>
      </w:r>
    </w:p>
    <w:p w:rsidR="00F86CC8" w:rsidRPr="00F86CC8" w:rsidRDefault="00F86CC8" w:rsidP="00F86CC8">
      <w:pPr>
        <w:rPr>
          <w:lang w:val="en-GB"/>
        </w:rPr>
      </w:pPr>
    </w:p>
    <w:p w:rsidR="00F86CC8" w:rsidRDefault="00F86CC8" w:rsidP="00F86CC8">
      <w:pPr>
        <w:pStyle w:val="Heading2"/>
      </w:pPr>
      <w:r>
        <w:t>As regards additional capitalisation, the 2014 Tariff Regulations specify as under:</w:t>
      </w:r>
    </w:p>
    <w:p w:rsidR="00F86CC8" w:rsidRDefault="00F86CC8" w:rsidP="00F86CC8">
      <w:pPr>
        <w:widowControl w:val="0"/>
        <w:ind w:left="1440"/>
        <w:rPr>
          <w:i/>
          <w:lang w:val="en-GB"/>
        </w:rPr>
      </w:pPr>
      <w:r>
        <w:rPr>
          <w:i/>
          <w:lang w:val="en-GB"/>
        </w:rPr>
        <w:t>“ADDITIONAL CAPITALISATION</w:t>
      </w:r>
    </w:p>
    <w:p w:rsidR="00F86CC8" w:rsidRDefault="00F86CC8" w:rsidP="00F86CC8">
      <w:pPr>
        <w:widowControl w:val="0"/>
        <w:ind w:left="1440"/>
        <w:rPr>
          <w:i/>
          <w:lang w:val="en-GB"/>
        </w:rPr>
      </w:pPr>
    </w:p>
    <w:p w:rsidR="00F86CC8" w:rsidRDefault="00F86CC8" w:rsidP="00F86CC8">
      <w:pPr>
        <w:widowControl w:val="0"/>
        <w:ind w:left="1440"/>
        <w:rPr>
          <w:i/>
          <w:lang w:val="en-GB"/>
        </w:rPr>
      </w:pPr>
    </w:p>
    <w:p w:rsidR="00F86CC8" w:rsidRDefault="00F86CC8" w:rsidP="00F86CC8">
      <w:pPr>
        <w:widowControl w:val="0"/>
        <w:ind w:left="1440"/>
        <w:rPr>
          <w:i/>
          <w:lang w:val="en-GB"/>
        </w:rPr>
      </w:pPr>
      <w:r>
        <w:rPr>
          <w:i/>
          <w:lang w:val="en-GB"/>
        </w:rPr>
        <w:t xml:space="preserve">3.4 The capital expenditure incurred or projected to be incurred, on the following counts </w:t>
      </w:r>
      <w:r w:rsidRPr="001D0EEE">
        <w:rPr>
          <w:b/>
          <w:i/>
          <w:lang w:val="en-GB"/>
        </w:rPr>
        <w:t>after the cut-off date</w:t>
      </w:r>
      <w:r>
        <w:rPr>
          <w:i/>
          <w:lang w:val="en-GB"/>
        </w:rPr>
        <w:t xml:space="preserve"> may, in its discretion, be admitted by the Commission, subject to prudence check-</w:t>
      </w:r>
    </w:p>
    <w:p w:rsidR="00F86CC8" w:rsidRDefault="00F86CC8" w:rsidP="00F86CC8">
      <w:pPr>
        <w:widowControl w:val="0"/>
        <w:ind w:left="1440"/>
        <w:rPr>
          <w:i/>
          <w:lang w:val="en-GB"/>
        </w:rPr>
      </w:pPr>
      <w:r>
        <w:rPr>
          <w:i/>
          <w:lang w:val="en-GB"/>
        </w:rPr>
        <w:t>(a) Liabilities to meet award of arbitration or for compliance of the order or decree of a Court</w:t>
      </w:r>
    </w:p>
    <w:p w:rsidR="00F86CC8" w:rsidRDefault="00F86CC8" w:rsidP="00F86CC8">
      <w:pPr>
        <w:widowControl w:val="0"/>
        <w:ind w:left="1440"/>
        <w:rPr>
          <w:i/>
          <w:lang w:val="en-GB"/>
        </w:rPr>
      </w:pPr>
      <w:r>
        <w:rPr>
          <w:i/>
          <w:lang w:val="en-GB"/>
        </w:rPr>
        <w:t>(b) Change in law</w:t>
      </w:r>
    </w:p>
    <w:p w:rsidR="00F86CC8" w:rsidRDefault="00F86CC8" w:rsidP="00F86CC8">
      <w:pPr>
        <w:widowControl w:val="0"/>
        <w:ind w:left="1440"/>
        <w:rPr>
          <w:i/>
          <w:lang w:val="en-GB"/>
        </w:rPr>
      </w:pPr>
      <w:r>
        <w:rPr>
          <w:i/>
          <w:lang w:val="en-GB"/>
        </w:rPr>
        <w:t>(c) Deferred works relating to ash pond or ash handling system in the original scope of work</w:t>
      </w:r>
    </w:p>
    <w:p w:rsidR="00F86CC8" w:rsidRDefault="00F86CC8" w:rsidP="00F86CC8">
      <w:pPr>
        <w:widowControl w:val="0"/>
        <w:ind w:left="1440"/>
        <w:rPr>
          <w:i/>
          <w:lang w:val="en-GB"/>
        </w:rPr>
      </w:pPr>
      <w:r>
        <w:rPr>
          <w:i/>
          <w:lang w:val="en-GB"/>
        </w:rPr>
        <w:t>(d) Any additional works/services, which have become necessary for efficient and successful operation of a generating station but not included in the original capital cost</w:t>
      </w:r>
    </w:p>
    <w:p w:rsidR="00F86CC8" w:rsidRDefault="00F86CC8" w:rsidP="00F86CC8">
      <w:pPr>
        <w:widowControl w:val="0"/>
        <w:ind w:left="1440"/>
        <w:rPr>
          <w:i/>
          <w:lang w:val="en-GB"/>
        </w:rPr>
      </w:pPr>
      <w:r>
        <w:rPr>
          <w:i/>
          <w:lang w:val="en-GB"/>
        </w:rPr>
        <w:t>……………..”</w:t>
      </w:r>
    </w:p>
    <w:p w:rsidR="00F86CC8" w:rsidRDefault="00F86CC8" w:rsidP="00F86CC8">
      <w:pPr>
        <w:rPr>
          <w:lang w:val="en-GB"/>
        </w:rPr>
      </w:pPr>
    </w:p>
    <w:p w:rsidR="00F86CC8" w:rsidRDefault="00F86CC8" w:rsidP="00F86CC8">
      <w:pPr>
        <w:pStyle w:val="Heading2"/>
      </w:pPr>
      <w:r>
        <w:t>The additional capitalisation claimed for FY 2018-19 is after the cut-off date of the project and hence qualifies under Regulation 3.4 of the 2014 Tariff Regulations.</w:t>
      </w:r>
    </w:p>
    <w:p w:rsidR="00F86CC8" w:rsidRDefault="00F86CC8" w:rsidP="00F86CC8">
      <w:pPr>
        <w:rPr>
          <w:lang w:val="en-GB"/>
        </w:rPr>
      </w:pPr>
    </w:p>
    <w:p w:rsidR="00D2553F" w:rsidRPr="00D2553F" w:rsidRDefault="00F86CC8" w:rsidP="00EB2753">
      <w:pPr>
        <w:pStyle w:val="Heading2"/>
      </w:pPr>
      <w:r>
        <w:t xml:space="preserve">OPGC has proposed the additional capitalisation of Rs. </w:t>
      </w:r>
      <w:r w:rsidR="005837AC">
        <w:t>9.80</w:t>
      </w:r>
      <w:r>
        <w:t xml:space="preserve"> Crore for FY 2019-20. </w:t>
      </w:r>
      <w:r w:rsidRPr="005B32A4">
        <w:t xml:space="preserve">The </w:t>
      </w:r>
      <w:r>
        <w:t>list of items of</w:t>
      </w:r>
      <w:r w:rsidRPr="005B32A4">
        <w:t xml:space="preserve"> additional capitalisation claimed by OPGC </w:t>
      </w:r>
      <w:r>
        <w:t xml:space="preserve">for FY 2019-20 </w:t>
      </w:r>
      <w:r w:rsidR="008F48C7">
        <w:t xml:space="preserve">along with the justification </w:t>
      </w:r>
      <w:r w:rsidRPr="005B32A4">
        <w:t xml:space="preserve">is enclosed at </w:t>
      </w:r>
      <w:r w:rsidRPr="005B32A4">
        <w:rPr>
          <w:b/>
        </w:rPr>
        <w:t xml:space="preserve">Annexure </w:t>
      </w:r>
      <w:r w:rsidR="008C6A5A">
        <w:rPr>
          <w:b/>
        </w:rPr>
        <w:t>7</w:t>
      </w:r>
      <w:r w:rsidRPr="005B32A4">
        <w:t>.</w:t>
      </w:r>
      <w:r>
        <w:t xml:space="preserve"> The additional capitalisation proposed for FY 2019-20 is towards the additional works some of which are towards compliance to </w:t>
      </w:r>
      <w:r w:rsidR="00674F52">
        <w:t>Change in Law</w:t>
      </w:r>
      <w:r>
        <w:t xml:space="preserve"> and other works which have become necessary for efficient and successful operation of the generating station. OPGC requests the Hon’ble OERC to approve the additional capitalisation claimed for FY 201</w:t>
      </w:r>
      <w:r w:rsidR="00CC231E">
        <w:t>9</w:t>
      </w:r>
      <w:r>
        <w:t>-</w:t>
      </w:r>
      <w:r w:rsidR="00CC231E">
        <w:t>20</w:t>
      </w:r>
      <w:r>
        <w:t xml:space="preserve"> under the provisions of Regulation 3.4 (b) and (d) of the 2014 Tariff Regulations.</w:t>
      </w:r>
    </w:p>
    <w:p w:rsidR="00903147" w:rsidRPr="00153A32" w:rsidRDefault="00903147" w:rsidP="00153A32">
      <w:pPr>
        <w:rPr>
          <w:lang w:val="en-GB"/>
        </w:rPr>
      </w:pPr>
    </w:p>
    <w:p w:rsidR="00FF6B72" w:rsidRDefault="00FF6B72" w:rsidP="00FF6B72">
      <w:pPr>
        <w:spacing w:line="240" w:lineRule="auto"/>
      </w:pPr>
      <w:r>
        <w:br w:type="page"/>
      </w:r>
    </w:p>
    <w:p w:rsidR="00855C2A" w:rsidRDefault="00855C2A" w:rsidP="00FF6B72">
      <w:pPr>
        <w:pStyle w:val="Heading1"/>
      </w:pPr>
      <w:bookmarkStart w:id="402" w:name="_Toc530497533"/>
      <w:bookmarkStart w:id="403" w:name="_Toc514427947"/>
      <w:bookmarkStart w:id="404" w:name="_Toc530491640"/>
      <w:r>
        <w:t>Impact of Additional Capitalisation</w:t>
      </w:r>
      <w:bookmarkEnd w:id="402"/>
    </w:p>
    <w:p w:rsidR="000D40F6" w:rsidRDefault="000D40F6" w:rsidP="000D40F6">
      <w:pPr>
        <w:pStyle w:val="NoSpacing"/>
      </w:pPr>
    </w:p>
    <w:p w:rsidR="00FA35A4" w:rsidRDefault="00FA35A4">
      <w:pPr>
        <w:spacing w:line="240" w:lineRule="auto"/>
        <w:jc w:val="left"/>
        <w:rPr>
          <w:b/>
          <w:i/>
        </w:rPr>
      </w:pPr>
      <w:r w:rsidRPr="00FA35A4">
        <w:rPr>
          <w:b/>
          <w:i/>
        </w:rPr>
        <w:t>Additional Capitalisation</w:t>
      </w:r>
    </w:p>
    <w:p w:rsidR="00FA35A4" w:rsidRPr="00FA35A4" w:rsidRDefault="00FA35A4" w:rsidP="000D40F6">
      <w:pPr>
        <w:pStyle w:val="NoSpacing"/>
      </w:pPr>
    </w:p>
    <w:p w:rsidR="00385664" w:rsidRDefault="00FA35A4" w:rsidP="00FA35A4">
      <w:pPr>
        <w:pStyle w:val="Heading2"/>
      </w:pPr>
      <w:r>
        <w:t xml:space="preserve">OPGC has </w:t>
      </w:r>
      <w:r w:rsidR="000D40F6">
        <w:t xml:space="preserve">considered the additional capitalisation </w:t>
      </w:r>
      <w:r w:rsidR="00E61874">
        <w:t>for FY 2015-16, FY 2016-17, FY 2017-18, FY 2018-19 as claimed in Case No. 54 of 2018 and the proposed additional capitalisation for FY 2019-20</w:t>
      </w:r>
      <w:r w:rsidR="005B3065">
        <w:t xml:space="preserve"> in this Petition</w:t>
      </w:r>
      <w:r w:rsidR="00E61874">
        <w:t>.</w:t>
      </w:r>
    </w:p>
    <w:p w:rsidR="00385664" w:rsidRDefault="00385664" w:rsidP="00385664">
      <w:pPr>
        <w:pStyle w:val="NoSpacing"/>
      </w:pPr>
    </w:p>
    <w:p w:rsidR="00E95CD8" w:rsidRPr="00CF1904" w:rsidRDefault="00E95CD8" w:rsidP="00CF1904">
      <w:pPr>
        <w:spacing w:line="240" w:lineRule="auto"/>
        <w:jc w:val="left"/>
        <w:rPr>
          <w:b/>
          <w:i/>
        </w:rPr>
      </w:pPr>
      <w:r w:rsidRPr="00CF1904">
        <w:rPr>
          <w:b/>
          <w:i/>
        </w:rPr>
        <w:t>Debt-Equity Ratio</w:t>
      </w:r>
    </w:p>
    <w:p w:rsidR="00855C2A" w:rsidRDefault="00855C2A" w:rsidP="00673571">
      <w:pPr>
        <w:pStyle w:val="NoSpacing"/>
      </w:pPr>
    </w:p>
    <w:p w:rsidR="007A065E" w:rsidRDefault="0019021D" w:rsidP="00010F3B">
      <w:pPr>
        <w:pStyle w:val="Heading2"/>
      </w:pPr>
      <w:r>
        <w:t xml:space="preserve">OPGC has considered the closing </w:t>
      </w:r>
      <w:r w:rsidR="007D3B30">
        <w:t xml:space="preserve">normative </w:t>
      </w:r>
      <w:r>
        <w:t xml:space="preserve">debt </w:t>
      </w:r>
      <w:r w:rsidR="005141D5">
        <w:t>for</w:t>
      </w:r>
      <w:r>
        <w:t xml:space="preserve"> FY 2018-19 as claimed in Case No. 54 of 2018, as the opening debt for FY 2019-20. OPGC has considered the closing Equity </w:t>
      </w:r>
      <w:r w:rsidR="005141D5">
        <w:t>for</w:t>
      </w:r>
      <w:r>
        <w:t xml:space="preserve"> FY 2018-19 as claimed in Case No. 54 of 2018 as the opening Equity for FY 2019-20</w:t>
      </w:r>
      <w:r w:rsidR="00876857">
        <w:t>.</w:t>
      </w:r>
    </w:p>
    <w:p w:rsidR="00876857" w:rsidRDefault="00876857" w:rsidP="00876857">
      <w:pPr>
        <w:rPr>
          <w:lang w:val="en-GB"/>
        </w:rPr>
      </w:pPr>
    </w:p>
    <w:p w:rsidR="00876857" w:rsidRPr="00876857" w:rsidRDefault="00876857" w:rsidP="00876857">
      <w:pPr>
        <w:widowControl w:val="0"/>
        <w:numPr>
          <w:ilvl w:val="1"/>
          <w:numId w:val="9"/>
        </w:numPr>
        <w:ind w:left="578" w:hanging="578"/>
        <w:jc w:val="left"/>
        <w:outlineLvl w:val="1"/>
        <w:rPr>
          <w:rFonts w:eastAsia="Times New Roman"/>
          <w:bCs/>
          <w:iCs/>
          <w:szCs w:val="28"/>
          <w:lang w:val="en-GB"/>
        </w:rPr>
      </w:pPr>
      <w:r w:rsidRPr="00876857">
        <w:rPr>
          <w:rFonts w:eastAsia="Times New Roman"/>
          <w:bCs/>
          <w:iCs/>
          <w:szCs w:val="28"/>
          <w:lang w:val="en-GB"/>
        </w:rPr>
        <w:t>As regards the debt-equity ratio of additional capitalisation, Regulation 3.8 of the 2014 Tariff Regulations specifies as under:</w:t>
      </w:r>
    </w:p>
    <w:p w:rsidR="00876857" w:rsidRPr="00876857" w:rsidRDefault="00876857" w:rsidP="00876857">
      <w:pPr>
        <w:jc w:val="left"/>
        <w:rPr>
          <w:lang w:val="en-GB"/>
        </w:rPr>
      </w:pPr>
    </w:p>
    <w:p w:rsidR="00876857" w:rsidRPr="00876857" w:rsidRDefault="00876857" w:rsidP="00876857">
      <w:pPr>
        <w:ind w:left="1440"/>
        <w:rPr>
          <w:i/>
          <w:lang w:val="en-GB"/>
        </w:rPr>
      </w:pPr>
      <w:r w:rsidRPr="00876857">
        <w:rPr>
          <w:i/>
          <w:lang w:val="en-GB"/>
        </w:rPr>
        <w:t>“3.8 Any expenditure incurred or projected to be incurred on or after 01-04-2014 as may be admitted by the Commission as additional capital expenditure for determination of tariff, and renovation and modernisation expenditure for life extension the normative debt-equity ratio shall be considered to be 70:30 for determination of tariff:</w:t>
      </w:r>
    </w:p>
    <w:p w:rsidR="00876857" w:rsidRPr="00876857" w:rsidRDefault="00876857" w:rsidP="00876857">
      <w:pPr>
        <w:ind w:left="1440"/>
        <w:rPr>
          <w:i/>
          <w:lang w:val="en-GB"/>
        </w:rPr>
      </w:pPr>
      <w:r w:rsidRPr="00876857">
        <w:rPr>
          <w:i/>
          <w:lang w:val="en-GB"/>
        </w:rPr>
        <w:t>Provided that in case of a generating station where equity employed is more than 30% of the capital cost, equity in excess of 30% shall be treated as normative loan,</w:t>
      </w:r>
    </w:p>
    <w:p w:rsidR="00876857" w:rsidRPr="00876857" w:rsidRDefault="00876857" w:rsidP="00876857">
      <w:pPr>
        <w:ind w:left="1440"/>
        <w:rPr>
          <w:i/>
          <w:lang w:val="en-GB"/>
        </w:rPr>
      </w:pPr>
      <w:r w:rsidRPr="00876857">
        <w:rPr>
          <w:i/>
          <w:lang w:val="en-GB"/>
        </w:rPr>
        <w:t>Provided also that in case of a generating station where actual equity employed is less than 30% the actual debt and equity shall be considered for determination of tariff.”</w:t>
      </w:r>
    </w:p>
    <w:p w:rsidR="00876857" w:rsidRPr="00876857" w:rsidRDefault="00876857" w:rsidP="00876857">
      <w:pPr>
        <w:jc w:val="left"/>
      </w:pPr>
    </w:p>
    <w:p w:rsidR="00876857" w:rsidRPr="00876857" w:rsidRDefault="00876857" w:rsidP="00876857">
      <w:pPr>
        <w:pStyle w:val="Heading2"/>
      </w:pPr>
      <w:r w:rsidRPr="00876857">
        <w:t xml:space="preserve">The additional capitalisation in </w:t>
      </w:r>
      <w:r w:rsidR="00BA57DB">
        <w:t>FY 2019-20</w:t>
      </w:r>
      <w:r w:rsidR="001D5142">
        <w:t xml:space="preserve"> </w:t>
      </w:r>
      <w:r w:rsidR="00BA57DB">
        <w:t xml:space="preserve">is proposed to be </w:t>
      </w:r>
      <w:r w:rsidRPr="00876857">
        <w:t xml:space="preserve">funded by the internal resources of OPGC. Hence, in accordance with the Regulation 3.8 stated above, the debt-equity ratio of the </w:t>
      </w:r>
      <w:r w:rsidR="00BA57DB">
        <w:t xml:space="preserve">proposed </w:t>
      </w:r>
      <w:r w:rsidRPr="00876857">
        <w:t xml:space="preserve">additional capitalisation in </w:t>
      </w:r>
      <w:r w:rsidR="00BA57DB">
        <w:t>FY 2019-20</w:t>
      </w:r>
      <w:r w:rsidRPr="00876857">
        <w:t xml:space="preserve"> has been considered as 70:30.</w:t>
      </w:r>
    </w:p>
    <w:p w:rsidR="00876857" w:rsidRPr="00876857" w:rsidRDefault="00876857" w:rsidP="00876857">
      <w:pPr>
        <w:jc w:val="left"/>
      </w:pPr>
    </w:p>
    <w:p w:rsidR="00876857" w:rsidRPr="00876857" w:rsidRDefault="00876857" w:rsidP="00876857">
      <w:pPr>
        <w:keepNext/>
        <w:spacing w:line="240" w:lineRule="auto"/>
        <w:jc w:val="center"/>
        <w:rPr>
          <w:b/>
          <w:bCs/>
          <w:szCs w:val="18"/>
        </w:rPr>
      </w:pPr>
      <w:bookmarkStart w:id="405" w:name="_Toc521334849"/>
      <w:bookmarkStart w:id="406" w:name="_Toc530497544"/>
      <w:r w:rsidRPr="00876857">
        <w:rPr>
          <w:b/>
          <w:bCs/>
          <w:szCs w:val="18"/>
        </w:rPr>
        <w:t xml:space="preserve">Table </w:t>
      </w:r>
      <w:r w:rsidR="00687F74" w:rsidRPr="00876857">
        <w:rPr>
          <w:b/>
          <w:bCs/>
          <w:szCs w:val="18"/>
        </w:rPr>
        <w:fldChar w:fldCharType="begin"/>
      </w:r>
      <w:r w:rsidRPr="00876857">
        <w:rPr>
          <w:b/>
          <w:bCs/>
          <w:szCs w:val="18"/>
        </w:rPr>
        <w:instrText xml:space="preserve"> SEQ Table \* ARABIC </w:instrText>
      </w:r>
      <w:r w:rsidR="00687F74" w:rsidRPr="00876857">
        <w:rPr>
          <w:b/>
          <w:bCs/>
          <w:szCs w:val="18"/>
        </w:rPr>
        <w:fldChar w:fldCharType="separate"/>
      </w:r>
      <w:r w:rsidR="008A42C7">
        <w:rPr>
          <w:b/>
          <w:bCs/>
          <w:noProof/>
          <w:szCs w:val="18"/>
        </w:rPr>
        <w:t>9</w:t>
      </w:r>
      <w:r w:rsidR="00687F74" w:rsidRPr="00876857">
        <w:rPr>
          <w:b/>
          <w:bCs/>
          <w:szCs w:val="18"/>
        </w:rPr>
        <w:fldChar w:fldCharType="end"/>
      </w:r>
      <w:r w:rsidRPr="00876857">
        <w:rPr>
          <w:b/>
          <w:bCs/>
          <w:szCs w:val="18"/>
        </w:rPr>
        <w:t>: Debt and equity of additional capitalisation</w:t>
      </w:r>
      <w:bookmarkEnd w:id="405"/>
      <w:r w:rsidR="0092286C">
        <w:rPr>
          <w:b/>
          <w:bCs/>
          <w:szCs w:val="18"/>
        </w:rPr>
        <w:t xml:space="preserve"> for FY 2019-20</w:t>
      </w:r>
      <w:bookmarkEnd w:id="406"/>
    </w:p>
    <w:tbl>
      <w:tblPr>
        <w:tblW w:w="4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99"/>
        <w:gridCol w:w="1516"/>
      </w:tblGrid>
      <w:tr w:rsidR="00AE143B" w:rsidRPr="00876857" w:rsidTr="0092286C">
        <w:trPr>
          <w:tblHeader/>
          <w:jc w:val="center"/>
        </w:trPr>
        <w:tc>
          <w:tcPr>
            <w:tcW w:w="2999" w:type="dxa"/>
            <w:shd w:val="clear" w:color="auto" w:fill="FABF8F" w:themeFill="accent6" w:themeFillTint="99"/>
          </w:tcPr>
          <w:p w:rsidR="00AE143B" w:rsidRPr="00876857" w:rsidRDefault="00AE143B" w:rsidP="00876857">
            <w:pPr>
              <w:jc w:val="center"/>
              <w:rPr>
                <w:b/>
              </w:rPr>
            </w:pPr>
            <w:r w:rsidRPr="00876857">
              <w:rPr>
                <w:b/>
              </w:rPr>
              <w:t>Particulars</w:t>
            </w:r>
          </w:p>
        </w:tc>
        <w:tc>
          <w:tcPr>
            <w:tcW w:w="1516" w:type="dxa"/>
            <w:shd w:val="clear" w:color="auto" w:fill="FABF8F" w:themeFill="accent6" w:themeFillTint="99"/>
          </w:tcPr>
          <w:p w:rsidR="00AE143B" w:rsidRPr="00876857" w:rsidRDefault="00AE143B" w:rsidP="00876857">
            <w:pPr>
              <w:jc w:val="center"/>
              <w:rPr>
                <w:b/>
              </w:rPr>
            </w:pPr>
            <w:r w:rsidRPr="00876857">
              <w:rPr>
                <w:b/>
              </w:rPr>
              <w:t>FY 201</w:t>
            </w:r>
            <w:r>
              <w:rPr>
                <w:b/>
              </w:rPr>
              <w:t>9</w:t>
            </w:r>
            <w:r w:rsidRPr="00876857">
              <w:rPr>
                <w:b/>
              </w:rPr>
              <w:t>-</w:t>
            </w:r>
            <w:r>
              <w:rPr>
                <w:b/>
              </w:rPr>
              <w:t>20</w:t>
            </w:r>
          </w:p>
        </w:tc>
      </w:tr>
      <w:tr w:rsidR="00AE143B" w:rsidRPr="00876857" w:rsidTr="00AE143B">
        <w:trPr>
          <w:jc w:val="center"/>
        </w:trPr>
        <w:tc>
          <w:tcPr>
            <w:tcW w:w="2999" w:type="dxa"/>
            <w:shd w:val="clear" w:color="auto" w:fill="auto"/>
          </w:tcPr>
          <w:p w:rsidR="00AE143B" w:rsidRPr="00876857" w:rsidRDefault="00AE143B" w:rsidP="00876857">
            <w:pPr>
              <w:jc w:val="left"/>
            </w:pPr>
            <w:r w:rsidRPr="00876857">
              <w:t>Additional capitalisation (Rs. Crore)</w:t>
            </w:r>
          </w:p>
        </w:tc>
        <w:tc>
          <w:tcPr>
            <w:tcW w:w="1516" w:type="dxa"/>
            <w:shd w:val="clear" w:color="auto" w:fill="auto"/>
          </w:tcPr>
          <w:p w:rsidR="00AE143B" w:rsidRPr="00876857" w:rsidRDefault="0092286C" w:rsidP="00876857">
            <w:pPr>
              <w:jc w:val="center"/>
            </w:pPr>
            <w:r>
              <w:t>9.80</w:t>
            </w:r>
          </w:p>
        </w:tc>
      </w:tr>
      <w:tr w:rsidR="00AE143B" w:rsidRPr="00876857" w:rsidTr="00AE143B">
        <w:trPr>
          <w:jc w:val="center"/>
        </w:trPr>
        <w:tc>
          <w:tcPr>
            <w:tcW w:w="2999" w:type="dxa"/>
            <w:shd w:val="clear" w:color="auto" w:fill="auto"/>
          </w:tcPr>
          <w:p w:rsidR="00AE143B" w:rsidRPr="00876857" w:rsidRDefault="00AE143B" w:rsidP="00876857">
            <w:pPr>
              <w:jc w:val="left"/>
            </w:pPr>
            <w:r w:rsidRPr="00876857">
              <w:t>Debt (%)</w:t>
            </w:r>
          </w:p>
        </w:tc>
        <w:tc>
          <w:tcPr>
            <w:tcW w:w="1516" w:type="dxa"/>
            <w:shd w:val="clear" w:color="auto" w:fill="auto"/>
          </w:tcPr>
          <w:p w:rsidR="00AE143B" w:rsidRPr="00876857" w:rsidRDefault="0092286C" w:rsidP="00876857">
            <w:pPr>
              <w:jc w:val="center"/>
            </w:pPr>
            <w:r>
              <w:t>70%</w:t>
            </w:r>
          </w:p>
        </w:tc>
      </w:tr>
      <w:tr w:rsidR="00AE143B" w:rsidRPr="00876857" w:rsidTr="00AE143B">
        <w:trPr>
          <w:jc w:val="center"/>
        </w:trPr>
        <w:tc>
          <w:tcPr>
            <w:tcW w:w="2999" w:type="dxa"/>
            <w:shd w:val="clear" w:color="auto" w:fill="auto"/>
          </w:tcPr>
          <w:p w:rsidR="00AE143B" w:rsidRPr="00876857" w:rsidRDefault="00AE143B" w:rsidP="00876857">
            <w:pPr>
              <w:jc w:val="left"/>
            </w:pPr>
            <w:r w:rsidRPr="00876857">
              <w:t>Debt (Rs. Crore)</w:t>
            </w:r>
          </w:p>
        </w:tc>
        <w:tc>
          <w:tcPr>
            <w:tcW w:w="1516" w:type="dxa"/>
            <w:shd w:val="clear" w:color="auto" w:fill="auto"/>
          </w:tcPr>
          <w:p w:rsidR="00AE143B" w:rsidRPr="00876857" w:rsidRDefault="0092286C" w:rsidP="00876857">
            <w:pPr>
              <w:jc w:val="center"/>
            </w:pPr>
            <w:r>
              <w:t>6.86</w:t>
            </w:r>
          </w:p>
        </w:tc>
      </w:tr>
      <w:tr w:rsidR="00AE143B" w:rsidRPr="00876857" w:rsidTr="00AE143B">
        <w:trPr>
          <w:jc w:val="center"/>
        </w:trPr>
        <w:tc>
          <w:tcPr>
            <w:tcW w:w="2999" w:type="dxa"/>
            <w:shd w:val="clear" w:color="auto" w:fill="auto"/>
          </w:tcPr>
          <w:p w:rsidR="00AE143B" w:rsidRPr="00876857" w:rsidRDefault="00AE143B" w:rsidP="00876857">
            <w:pPr>
              <w:jc w:val="left"/>
            </w:pPr>
            <w:r w:rsidRPr="00876857">
              <w:t>Equity (%)</w:t>
            </w:r>
          </w:p>
        </w:tc>
        <w:tc>
          <w:tcPr>
            <w:tcW w:w="1516" w:type="dxa"/>
            <w:shd w:val="clear" w:color="auto" w:fill="auto"/>
          </w:tcPr>
          <w:p w:rsidR="00AE143B" w:rsidRPr="00876857" w:rsidRDefault="0092286C" w:rsidP="00876857">
            <w:pPr>
              <w:jc w:val="center"/>
            </w:pPr>
            <w:r>
              <w:t>30%</w:t>
            </w:r>
          </w:p>
        </w:tc>
      </w:tr>
      <w:tr w:rsidR="00AE143B" w:rsidRPr="00876857" w:rsidTr="00AE143B">
        <w:trPr>
          <w:jc w:val="center"/>
        </w:trPr>
        <w:tc>
          <w:tcPr>
            <w:tcW w:w="2999" w:type="dxa"/>
            <w:shd w:val="clear" w:color="auto" w:fill="auto"/>
          </w:tcPr>
          <w:p w:rsidR="00AE143B" w:rsidRPr="00876857" w:rsidRDefault="00AE143B" w:rsidP="00876857">
            <w:pPr>
              <w:jc w:val="left"/>
            </w:pPr>
            <w:r w:rsidRPr="00876857">
              <w:t>Equity (Rs. Crore)</w:t>
            </w:r>
          </w:p>
        </w:tc>
        <w:tc>
          <w:tcPr>
            <w:tcW w:w="1516" w:type="dxa"/>
            <w:shd w:val="clear" w:color="auto" w:fill="auto"/>
          </w:tcPr>
          <w:p w:rsidR="00AE143B" w:rsidRPr="00876857" w:rsidRDefault="0092286C" w:rsidP="00876857">
            <w:pPr>
              <w:jc w:val="center"/>
            </w:pPr>
            <w:r>
              <w:t>2.94</w:t>
            </w:r>
          </w:p>
        </w:tc>
      </w:tr>
    </w:tbl>
    <w:p w:rsidR="00876857" w:rsidRPr="00876857" w:rsidRDefault="00876857" w:rsidP="00876857">
      <w:pPr>
        <w:jc w:val="left"/>
      </w:pPr>
    </w:p>
    <w:p w:rsidR="00876857" w:rsidRPr="00876857" w:rsidRDefault="00876857" w:rsidP="00876857">
      <w:pPr>
        <w:widowControl w:val="0"/>
        <w:numPr>
          <w:ilvl w:val="1"/>
          <w:numId w:val="9"/>
        </w:numPr>
        <w:ind w:left="578" w:hanging="578"/>
        <w:jc w:val="left"/>
        <w:outlineLvl w:val="1"/>
        <w:rPr>
          <w:rFonts w:eastAsia="Times New Roman"/>
          <w:bCs/>
          <w:iCs/>
          <w:szCs w:val="28"/>
          <w:lang w:val="en-GB"/>
        </w:rPr>
      </w:pPr>
      <w:r w:rsidRPr="00876857">
        <w:rPr>
          <w:rFonts w:eastAsia="Times New Roman"/>
          <w:bCs/>
          <w:iCs/>
          <w:szCs w:val="28"/>
          <w:lang w:val="en-GB"/>
        </w:rPr>
        <w:t>As per Clause 3.0 of Schedule II of the Amended PPA, the Annual Fixed Cost of OPGC shall consist of the following components:</w:t>
      </w:r>
    </w:p>
    <w:p w:rsidR="00876857" w:rsidRPr="00876857" w:rsidRDefault="00876857" w:rsidP="00876857">
      <w:pPr>
        <w:widowControl w:val="0"/>
        <w:numPr>
          <w:ilvl w:val="1"/>
          <w:numId w:val="3"/>
        </w:numPr>
        <w:jc w:val="left"/>
        <w:outlineLvl w:val="3"/>
        <w:rPr>
          <w:rFonts w:eastAsia="Times New Roman"/>
          <w:bCs/>
          <w:iCs/>
          <w:szCs w:val="24"/>
          <w:lang w:val="en-GB"/>
        </w:rPr>
      </w:pPr>
      <w:r w:rsidRPr="00876857">
        <w:rPr>
          <w:rFonts w:eastAsia="Times New Roman"/>
          <w:bCs/>
          <w:iCs/>
          <w:szCs w:val="24"/>
          <w:lang w:val="en-GB"/>
        </w:rPr>
        <w:t>Depreciation;</w:t>
      </w:r>
    </w:p>
    <w:p w:rsidR="00876857" w:rsidRPr="00876857" w:rsidRDefault="00876857" w:rsidP="00876857">
      <w:pPr>
        <w:widowControl w:val="0"/>
        <w:numPr>
          <w:ilvl w:val="1"/>
          <w:numId w:val="3"/>
        </w:numPr>
        <w:jc w:val="left"/>
        <w:outlineLvl w:val="3"/>
        <w:rPr>
          <w:rFonts w:eastAsia="Times New Roman"/>
          <w:bCs/>
          <w:iCs/>
          <w:szCs w:val="24"/>
          <w:lang w:val="en-GB"/>
        </w:rPr>
      </w:pPr>
      <w:r w:rsidRPr="00876857">
        <w:rPr>
          <w:rFonts w:eastAsia="Times New Roman"/>
          <w:bCs/>
          <w:iCs/>
          <w:szCs w:val="24"/>
          <w:lang w:val="en-GB"/>
        </w:rPr>
        <w:t>Return on Equity;</w:t>
      </w:r>
    </w:p>
    <w:p w:rsidR="00876857" w:rsidRPr="00876857" w:rsidRDefault="00876857" w:rsidP="00876857">
      <w:pPr>
        <w:widowControl w:val="0"/>
        <w:numPr>
          <w:ilvl w:val="1"/>
          <w:numId w:val="3"/>
        </w:numPr>
        <w:jc w:val="left"/>
        <w:outlineLvl w:val="3"/>
        <w:rPr>
          <w:rFonts w:eastAsia="Times New Roman"/>
          <w:bCs/>
          <w:iCs/>
          <w:szCs w:val="24"/>
          <w:lang w:val="en-GB"/>
        </w:rPr>
      </w:pPr>
      <w:r w:rsidRPr="00876857">
        <w:rPr>
          <w:rFonts w:eastAsia="Times New Roman"/>
          <w:bCs/>
          <w:iCs/>
          <w:szCs w:val="24"/>
          <w:lang w:val="en-GB"/>
        </w:rPr>
        <w:t>Interest on Loan;</w:t>
      </w:r>
    </w:p>
    <w:p w:rsidR="00876857" w:rsidRPr="00876857" w:rsidRDefault="00876857" w:rsidP="00876857">
      <w:pPr>
        <w:widowControl w:val="0"/>
        <w:numPr>
          <w:ilvl w:val="1"/>
          <w:numId w:val="3"/>
        </w:numPr>
        <w:jc w:val="left"/>
        <w:outlineLvl w:val="3"/>
        <w:rPr>
          <w:rFonts w:eastAsia="Times New Roman"/>
          <w:bCs/>
          <w:iCs/>
          <w:szCs w:val="24"/>
          <w:lang w:val="en-GB"/>
        </w:rPr>
      </w:pPr>
      <w:r w:rsidRPr="00876857">
        <w:rPr>
          <w:rFonts w:eastAsia="Times New Roman"/>
          <w:bCs/>
          <w:iCs/>
          <w:szCs w:val="24"/>
          <w:lang w:val="en-GB"/>
        </w:rPr>
        <w:t>Operation and Maintenance Expenses;</w:t>
      </w:r>
    </w:p>
    <w:p w:rsidR="00876857" w:rsidRPr="00876857" w:rsidRDefault="00876857" w:rsidP="00876857">
      <w:pPr>
        <w:widowControl w:val="0"/>
        <w:numPr>
          <w:ilvl w:val="1"/>
          <w:numId w:val="3"/>
        </w:numPr>
        <w:jc w:val="left"/>
        <w:outlineLvl w:val="3"/>
        <w:rPr>
          <w:rFonts w:eastAsia="Times New Roman"/>
          <w:bCs/>
          <w:iCs/>
          <w:szCs w:val="24"/>
          <w:lang w:val="en-GB"/>
        </w:rPr>
      </w:pPr>
      <w:r w:rsidRPr="00876857">
        <w:rPr>
          <w:rFonts w:eastAsia="Times New Roman"/>
          <w:bCs/>
          <w:iCs/>
          <w:szCs w:val="24"/>
          <w:lang w:val="en-GB"/>
        </w:rPr>
        <w:t>Interest on Working Capital.</w:t>
      </w:r>
    </w:p>
    <w:p w:rsidR="00876857" w:rsidRPr="00876857" w:rsidRDefault="00876857" w:rsidP="00876857">
      <w:pPr>
        <w:widowControl w:val="0"/>
        <w:ind w:left="864" w:hanging="864"/>
        <w:jc w:val="left"/>
      </w:pPr>
    </w:p>
    <w:p w:rsidR="00876857" w:rsidRPr="00876857" w:rsidRDefault="00876857" w:rsidP="00DF378B">
      <w:pPr>
        <w:pStyle w:val="Heading2"/>
      </w:pPr>
      <w:r w:rsidRPr="00876857">
        <w:t>OPGC has claimed only the components of AFC corresponding to recovery of additional capitalisation viz., Depreciation, Return on Equity, Interest on Loan and Interest on Working Capital. The computation of each of the above components of the Annual Fixed Cost is detailed in the subsequent paragraphs.</w:t>
      </w:r>
    </w:p>
    <w:p w:rsidR="00876857" w:rsidRPr="00876857" w:rsidRDefault="00876857" w:rsidP="00876857">
      <w:pPr>
        <w:widowControl w:val="0"/>
        <w:ind w:left="720" w:hanging="720"/>
        <w:outlineLvl w:val="2"/>
        <w:rPr>
          <w:rFonts w:eastAsia="Times New Roman"/>
          <w:b/>
          <w:bCs/>
          <w:i/>
          <w:szCs w:val="24"/>
          <w:lang w:val="en-GB"/>
        </w:rPr>
      </w:pPr>
    </w:p>
    <w:p w:rsidR="00876857" w:rsidRPr="00876857" w:rsidRDefault="00876857" w:rsidP="00876857">
      <w:pPr>
        <w:widowControl w:val="0"/>
        <w:ind w:left="720" w:hanging="720"/>
        <w:outlineLvl w:val="2"/>
        <w:rPr>
          <w:rFonts w:eastAsia="Times New Roman"/>
          <w:b/>
          <w:bCs/>
          <w:i/>
          <w:szCs w:val="24"/>
          <w:lang w:val="en-GB"/>
        </w:rPr>
      </w:pPr>
      <w:r w:rsidRPr="00876857">
        <w:rPr>
          <w:rFonts w:eastAsia="Times New Roman"/>
          <w:b/>
          <w:bCs/>
          <w:i/>
          <w:szCs w:val="24"/>
          <w:lang w:val="en-GB"/>
        </w:rPr>
        <w:t>Depreciation</w:t>
      </w:r>
    </w:p>
    <w:p w:rsidR="00876857" w:rsidRPr="00876857" w:rsidRDefault="00876857" w:rsidP="00DF378B">
      <w:pPr>
        <w:pStyle w:val="Heading2"/>
      </w:pPr>
      <w:r w:rsidRPr="00876857">
        <w:t xml:space="preserve">The 2014 Tariff Regulations specify the rates of depreciation for each asset class. The term of the Amended PPA is upto FY 2025-26. If the depreciation rates as per the 2014 Tariff Regulations are applied for computing the depreciation, OPGC will not be able to recover the entire depreciable value of the assets capitalised from FY 2015-16 onwards by the end of the term of the PPA. Hence, OPGC requests the Hon’ble Commission to allow the recovery of depreciable value of the assets (90% of total value) capitalised from FY 2015-16 onwards, by equally spreading the same during each year, from the year of capitalisation of the respective assets, upto FY 2025-26. It is humbly prayed that this Hon’ble Commission exercise its power to relax in accordance with Regulation 7.13 of the 2014 Tariff Regulations in the unique circumstances of this case to permit OPGC to recover the depreciable value of the assets by FY 2025-26. It is submitted that if such relaxation is not permitted, OPGC will be prejudiced for no fault of its own. </w:t>
      </w:r>
    </w:p>
    <w:p w:rsidR="00876857" w:rsidRPr="00876857" w:rsidRDefault="00876857" w:rsidP="00876857">
      <w:pPr>
        <w:jc w:val="left"/>
        <w:rPr>
          <w:lang w:val="en-GB"/>
        </w:rPr>
      </w:pPr>
    </w:p>
    <w:p w:rsidR="00876857" w:rsidRPr="00876857" w:rsidRDefault="00876857" w:rsidP="00876857">
      <w:pPr>
        <w:widowControl w:val="0"/>
        <w:numPr>
          <w:ilvl w:val="1"/>
          <w:numId w:val="9"/>
        </w:numPr>
        <w:ind w:left="578" w:hanging="578"/>
        <w:jc w:val="left"/>
        <w:outlineLvl w:val="1"/>
        <w:rPr>
          <w:rFonts w:eastAsia="Times New Roman"/>
          <w:bCs/>
          <w:iCs/>
          <w:szCs w:val="28"/>
          <w:lang w:val="en-GB"/>
        </w:rPr>
      </w:pPr>
      <w:r w:rsidRPr="00876857">
        <w:rPr>
          <w:rFonts w:eastAsia="Times New Roman"/>
          <w:bCs/>
          <w:iCs/>
          <w:szCs w:val="28"/>
          <w:lang w:val="en-GB"/>
        </w:rPr>
        <w:t xml:space="preserve">Accordingly, the depreciation claimed for FY </w:t>
      </w:r>
      <w:r w:rsidR="00544C03">
        <w:rPr>
          <w:rFonts w:eastAsia="Times New Roman"/>
          <w:bCs/>
          <w:iCs/>
          <w:szCs w:val="28"/>
          <w:lang w:val="en-GB"/>
        </w:rPr>
        <w:t>2019-20 is as under</w:t>
      </w:r>
      <w:r w:rsidRPr="00876857">
        <w:rPr>
          <w:rFonts w:eastAsia="Times New Roman"/>
          <w:bCs/>
          <w:iCs/>
          <w:szCs w:val="28"/>
          <w:lang w:val="en-GB"/>
        </w:rPr>
        <w:t>:</w:t>
      </w:r>
    </w:p>
    <w:p w:rsidR="00876857" w:rsidRPr="00876857" w:rsidRDefault="00876857" w:rsidP="00876857">
      <w:pPr>
        <w:jc w:val="left"/>
        <w:rPr>
          <w:lang w:val="en-GB"/>
        </w:rPr>
      </w:pPr>
    </w:p>
    <w:p w:rsidR="00876857" w:rsidRPr="00876857" w:rsidRDefault="00876857" w:rsidP="00876857">
      <w:pPr>
        <w:keepNext/>
        <w:spacing w:line="240" w:lineRule="auto"/>
        <w:jc w:val="center"/>
        <w:rPr>
          <w:b/>
          <w:bCs/>
          <w:szCs w:val="18"/>
        </w:rPr>
      </w:pPr>
      <w:bookmarkStart w:id="407" w:name="_Toc521334850"/>
      <w:bookmarkStart w:id="408" w:name="_Toc530497545"/>
      <w:r w:rsidRPr="00876857">
        <w:rPr>
          <w:b/>
          <w:bCs/>
          <w:szCs w:val="18"/>
        </w:rPr>
        <w:t xml:space="preserve">Table </w:t>
      </w:r>
      <w:r w:rsidR="00687F74" w:rsidRPr="00876857">
        <w:rPr>
          <w:b/>
          <w:bCs/>
          <w:szCs w:val="18"/>
        </w:rPr>
        <w:fldChar w:fldCharType="begin"/>
      </w:r>
      <w:r w:rsidRPr="00876857">
        <w:rPr>
          <w:b/>
          <w:bCs/>
          <w:szCs w:val="18"/>
        </w:rPr>
        <w:instrText xml:space="preserve"> SEQ Table \* ARABIC </w:instrText>
      </w:r>
      <w:r w:rsidR="00687F74" w:rsidRPr="00876857">
        <w:rPr>
          <w:b/>
          <w:bCs/>
          <w:szCs w:val="18"/>
        </w:rPr>
        <w:fldChar w:fldCharType="separate"/>
      </w:r>
      <w:r w:rsidR="008A42C7">
        <w:rPr>
          <w:b/>
          <w:bCs/>
          <w:noProof/>
          <w:szCs w:val="18"/>
        </w:rPr>
        <w:t>10</w:t>
      </w:r>
      <w:r w:rsidR="00687F74" w:rsidRPr="00876857">
        <w:rPr>
          <w:b/>
          <w:bCs/>
          <w:szCs w:val="18"/>
        </w:rPr>
        <w:fldChar w:fldCharType="end"/>
      </w:r>
      <w:r w:rsidRPr="00876857">
        <w:rPr>
          <w:b/>
          <w:bCs/>
          <w:szCs w:val="18"/>
        </w:rPr>
        <w:t xml:space="preserve">: Depreciation </w:t>
      </w:r>
      <w:r w:rsidR="00625508">
        <w:rPr>
          <w:b/>
          <w:bCs/>
          <w:szCs w:val="18"/>
        </w:rPr>
        <w:t>corresponding to additional capitalisation</w:t>
      </w:r>
      <w:r w:rsidRPr="00876857">
        <w:rPr>
          <w:b/>
          <w:bCs/>
          <w:szCs w:val="18"/>
        </w:rPr>
        <w:t xml:space="preserve"> (Rs. Crore)</w:t>
      </w:r>
      <w:bookmarkEnd w:id="407"/>
      <w:bookmarkEnd w:id="4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7"/>
        <w:gridCol w:w="1516"/>
      </w:tblGrid>
      <w:tr w:rsidR="00544C03" w:rsidRPr="00876857" w:rsidTr="00544C03">
        <w:trPr>
          <w:tblHeader/>
          <w:jc w:val="center"/>
        </w:trPr>
        <w:tc>
          <w:tcPr>
            <w:tcW w:w="3427" w:type="dxa"/>
            <w:shd w:val="clear" w:color="auto" w:fill="FABF8F" w:themeFill="accent6" w:themeFillTint="99"/>
          </w:tcPr>
          <w:p w:rsidR="00544C03" w:rsidRPr="00876857" w:rsidRDefault="00544C03" w:rsidP="00876857">
            <w:pPr>
              <w:jc w:val="center"/>
              <w:rPr>
                <w:b/>
                <w:lang w:val="en-GB"/>
              </w:rPr>
            </w:pPr>
            <w:r w:rsidRPr="00876857">
              <w:rPr>
                <w:b/>
                <w:lang w:val="en-GB"/>
              </w:rPr>
              <w:t>Particulars</w:t>
            </w:r>
          </w:p>
        </w:tc>
        <w:tc>
          <w:tcPr>
            <w:tcW w:w="1516" w:type="dxa"/>
            <w:shd w:val="clear" w:color="auto" w:fill="FABF8F" w:themeFill="accent6" w:themeFillTint="99"/>
          </w:tcPr>
          <w:p w:rsidR="00544C03" w:rsidRPr="00876857" w:rsidRDefault="00544C03" w:rsidP="00876857">
            <w:pPr>
              <w:jc w:val="center"/>
              <w:rPr>
                <w:b/>
                <w:lang w:val="en-GB"/>
              </w:rPr>
            </w:pPr>
            <w:r w:rsidRPr="00876857">
              <w:rPr>
                <w:b/>
                <w:lang w:val="en-GB"/>
              </w:rPr>
              <w:t>FY 201</w:t>
            </w:r>
            <w:r>
              <w:rPr>
                <w:b/>
                <w:lang w:val="en-GB"/>
              </w:rPr>
              <w:t>9-20</w:t>
            </w:r>
          </w:p>
        </w:tc>
      </w:tr>
      <w:tr w:rsidR="00544C03" w:rsidRPr="00876857" w:rsidTr="00204951">
        <w:trPr>
          <w:jc w:val="center"/>
        </w:trPr>
        <w:tc>
          <w:tcPr>
            <w:tcW w:w="3427" w:type="dxa"/>
            <w:shd w:val="clear" w:color="auto" w:fill="auto"/>
          </w:tcPr>
          <w:p w:rsidR="00544C03" w:rsidRPr="00876857" w:rsidRDefault="00544C03" w:rsidP="00876857">
            <w:pPr>
              <w:jc w:val="left"/>
              <w:rPr>
                <w:lang w:val="en-GB"/>
              </w:rPr>
            </w:pPr>
            <w:r w:rsidRPr="00876857">
              <w:rPr>
                <w:lang w:val="en-GB"/>
              </w:rPr>
              <w:t>Depreciation corresponding to additional capitalisation</w:t>
            </w:r>
          </w:p>
        </w:tc>
        <w:tc>
          <w:tcPr>
            <w:tcW w:w="1516" w:type="dxa"/>
            <w:shd w:val="clear" w:color="auto" w:fill="auto"/>
            <w:vAlign w:val="center"/>
          </w:tcPr>
          <w:p w:rsidR="00544C03" w:rsidRPr="00876857" w:rsidRDefault="00625508" w:rsidP="00876857">
            <w:pPr>
              <w:jc w:val="center"/>
              <w:rPr>
                <w:color w:val="000000"/>
              </w:rPr>
            </w:pPr>
            <w:r>
              <w:rPr>
                <w:color w:val="000000"/>
              </w:rPr>
              <w:t>14.24</w:t>
            </w:r>
          </w:p>
        </w:tc>
      </w:tr>
    </w:tbl>
    <w:p w:rsidR="00876857" w:rsidRPr="00876857" w:rsidRDefault="00876857" w:rsidP="00876857">
      <w:pPr>
        <w:jc w:val="left"/>
        <w:rPr>
          <w:lang w:val="en-GB"/>
        </w:rPr>
      </w:pPr>
    </w:p>
    <w:p w:rsidR="00876857" w:rsidRPr="00876857" w:rsidRDefault="00876857" w:rsidP="00876857">
      <w:pPr>
        <w:widowControl w:val="0"/>
        <w:ind w:left="578" w:hanging="578"/>
        <w:outlineLvl w:val="1"/>
        <w:rPr>
          <w:rFonts w:eastAsia="Times New Roman"/>
          <w:b/>
          <w:bCs/>
          <w:i/>
          <w:iCs/>
          <w:szCs w:val="24"/>
          <w:lang w:val="en-GB"/>
        </w:rPr>
      </w:pPr>
      <w:r w:rsidRPr="00876857">
        <w:rPr>
          <w:rFonts w:eastAsia="Times New Roman"/>
          <w:b/>
          <w:bCs/>
          <w:i/>
          <w:iCs/>
          <w:szCs w:val="24"/>
          <w:lang w:val="en-GB"/>
        </w:rPr>
        <w:t>Return on Equity</w:t>
      </w:r>
    </w:p>
    <w:p w:rsidR="00876857" w:rsidRPr="00876857" w:rsidRDefault="00FE2599" w:rsidP="00204951">
      <w:pPr>
        <w:pStyle w:val="Heading2"/>
      </w:pPr>
      <w:r w:rsidRPr="006253A5">
        <w:t xml:space="preserve">The closing Equity for FY 2018-19 as claimed in Case No. 54 of 2018 has been </w:t>
      </w:r>
      <w:r>
        <w:t xml:space="preserve">considered as the opening Equity for FY 2019-20. </w:t>
      </w:r>
      <w:r w:rsidR="00876857" w:rsidRPr="00876857">
        <w:t>Clause 8.0 (10) of Schedule II of PPA provides for Return on Equity at the rate of 16%. Accordingly, OPGC submits the Return on Equity for each year considering the equity base for the corresponding year at the rate of 16%.</w:t>
      </w:r>
    </w:p>
    <w:p w:rsidR="00876857" w:rsidRPr="00876857" w:rsidRDefault="00876857" w:rsidP="00876857">
      <w:pPr>
        <w:jc w:val="left"/>
        <w:rPr>
          <w:lang w:val="en-GB"/>
        </w:rPr>
      </w:pPr>
    </w:p>
    <w:p w:rsidR="00876857" w:rsidRPr="00876857" w:rsidRDefault="00876857" w:rsidP="00876857">
      <w:pPr>
        <w:keepNext/>
        <w:spacing w:line="240" w:lineRule="auto"/>
        <w:jc w:val="center"/>
        <w:rPr>
          <w:b/>
          <w:bCs/>
          <w:szCs w:val="18"/>
        </w:rPr>
      </w:pPr>
      <w:bookmarkStart w:id="409" w:name="_Toc521334851"/>
      <w:bookmarkStart w:id="410" w:name="_Toc530497546"/>
      <w:r w:rsidRPr="00876857">
        <w:rPr>
          <w:b/>
          <w:bCs/>
          <w:szCs w:val="18"/>
        </w:rPr>
        <w:t xml:space="preserve">Table </w:t>
      </w:r>
      <w:r w:rsidR="00687F74" w:rsidRPr="00876857">
        <w:rPr>
          <w:b/>
          <w:bCs/>
          <w:szCs w:val="18"/>
        </w:rPr>
        <w:fldChar w:fldCharType="begin"/>
      </w:r>
      <w:r w:rsidRPr="00876857">
        <w:rPr>
          <w:b/>
          <w:bCs/>
          <w:szCs w:val="18"/>
        </w:rPr>
        <w:instrText xml:space="preserve"> SEQ Table \* ARABIC </w:instrText>
      </w:r>
      <w:r w:rsidR="00687F74" w:rsidRPr="00876857">
        <w:rPr>
          <w:b/>
          <w:bCs/>
          <w:szCs w:val="18"/>
        </w:rPr>
        <w:fldChar w:fldCharType="separate"/>
      </w:r>
      <w:r w:rsidR="008A42C7">
        <w:rPr>
          <w:b/>
          <w:bCs/>
          <w:noProof/>
          <w:szCs w:val="18"/>
        </w:rPr>
        <w:t>11</w:t>
      </w:r>
      <w:r w:rsidR="00687F74" w:rsidRPr="00876857">
        <w:rPr>
          <w:b/>
          <w:bCs/>
          <w:szCs w:val="18"/>
        </w:rPr>
        <w:fldChar w:fldCharType="end"/>
      </w:r>
      <w:r w:rsidRPr="00876857">
        <w:rPr>
          <w:b/>
          <w:bCs/>
          <w:szCs w:val="18"/>
        </w:rPr>
        <w:t xml:space="preserve">: Return on Equity </w:t>
      </w:r>
      <w:r w:rsidR="00625508">
        <w:rPr>
          <w:b/>
          <w:bCs/>
          <w:szCs w:val="18"/>
        </w:rPr>
        <w:t>corresponding to additional capitalisation</w:t>
      </w:r>
      <w:r w:rsidRPr="00876857">
        <w:rPr>
          <w:b/>
          <w:bCs/>
          <w:szCs w:val="18"/>
        </w:rPr>
        <w:t xml:space="preserve"> (Rs. Crore)</w:t>
      </w:r>
      <w:bookmarkEnd w:id="409"/>
      <w:bookmarkEnd w:id="4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0"/>
        <w:gridCol w:w="1536"/>
      </w:tblGrid>
      <w:tr w:rsidR="00625508" w:rsidRPr="00876857" w:rsidTr="00841D3A">
        <w:trPr>
          <w:tblHeader/>
          <w:jc w:val="center"/>
        </w:trPr>
        <w:tc>
          <w:tcPr>
            <w:tcW w:w="3680" w:type="dxa"/>
            <w:shd w:val="clear" w:color="auto" w:fill="FABF8F" w:themeFill="accent6" w:themeFillTint="99"/>
          </w:tcPr>
          <w:p w:rsidR="00625508" w:rsidRPr="00876857" w:rsidRDefault="00625508" w:rsidP="00841D3A">
            <w:pPr>
              <w:spacing w:line="276" w:lineRule="auto"/>
              <w:jc w:val="center"/>
              <w:rPr>
                <w:b/>
                <w:lang w:val="en-GB"/>
              </w:rPr>
            </w:pPr>
            <w:r w:rsidRPr="00876857">
              <w:rPr>
                <w:b/>
                <w:lang w:val="en-GB"/>
              </w:rPr>
              <w:t>Particulars</w:t>
            </w:r>
          </w:p>
        </w:tc>
        <w:tc>
          <w:tcPr>
            <w:tcW w:w="1536" w:type="dxa"/>
            <w:shd w:val="clear" w:color="auto" w:fill="FABF8F" w:themeFill="accent6" w:themeFillTint="99"/>
          </w:tcPr>
          <w:p w:rsidR="00625508" w:rsidRPr="00876857" w:rsidRDefault="00625508" w:rsidP="00841D3A">
            <w:pPr>
              <w:spacing w:line="276" w:lineRule="auto"/>
              <w:jc w:val="center"/>
              <w:rPr>
                <w:b/>
                <w:lang w:val="en-GB"/>
              </w:rPr>
            </w:pPr>
            <w:r w:rsidRPr="00876857">
              <w:rPr>
                <w:b/>
                <w:lang w:val="en-GB"/>
              </w:rPr>
              <w:t>FY 201</w:t>
            </w:r>
            <w:r>
              <w:rPr>
                <w:b/>
                <w:lang w:val="en-GB"/>
              </w:rPr>
              <w:t>9</w:t>
            </w:r>
            <w:r w:rsidRPr="00876857">
              <w:rPr>
                <w:b/>
                <w:lang w:val="en-GB"/>
              </w:rPr>
              <w:t>-</w:t>
            </w:r>
            <w:r>
              <w:rPr>
                <w:b/>
                <w:lang w:val="en-GB"/>
              </w:rPr>
              <w:t>20</w:t>
            </w:r>
          </w:p>
        </w:tc>
      </w:tr>
      <w:tr w:rsidR="00625508" w:rsidRPr="00876857" w:rsidTr="00204951">
        <w:trPr>
          <w:jc w:val="center"/>
        </w:trPr>
        <w:tc>
          <w:tcPr>
            <w:tcW w:w="3680" w:type="dxa"/>
            <w:shd w:val="clear" w:color="auto" w:fill="auto"/>
          </w:tcPr>
          <w:p w:rsidR="00625508" w:rsidRPr="00876857" w:rsidRDefault="00625508" w:rsidP="00841D3A">
            <w:pPr>
              <w:spacing w:line="276" w:lineRule="auto"/>
              <w:jc w:val="left"/>
              <w:rPr>
                <w:lang w:val="en-GB"/>
              </w:rPr>
            </w:pPr>
            <w:r w:rsidRPr="00876857">
              <w:rPr>
                <w:lang w:val="en-GB"/>
              </w:rPr>
              <w:t>Opening Equity corresponding to additional capitalisation</w:t>
            </w:r>
          </w:p>
        </w:tc>
        <w:tc>
          <w:tcPr>
            <w:tcW w:w="1536" w:type="dxa"/>
            <w:shd w:val="clear" w:color="auto" w:fill="auto"/>
            <w:vAlign w:val="center"/>
          </w:tcPr>
          <w:p w:rsidR="00625508" w:rsidRPr="00876857" w:rsidRDefault="006D486F" w:rsidP="00841D3A">
            <w:pPr>
              <w:spacing w:line="276" w:lineRule="auto"/>
              <w:jc w:val="center"/>
              <w:rPr>
                <w:color w:val="000000"/>
              </w:rPr>
            </w:pPr>
            <w:r>
              <w:rPr>
                <w:color w:val="000000"/>
              </w:rPr>
              <w:t>38.42</w:t>
            </w:r>
          </w:p>
        </w:tc>
      </w:tr>
      <w:tr w:rsidR="00625508" w:rsidRPr="00876857" w:rsidTr="00204951">
        <w:trPr>
          <w:jc w:val="center"/>
        </w:trPr>
        <w:tc>
          <w:tcPr>
            <w:tcW w:w="3680" w:type="dxa"/>
            <w:shd w:val="clear" w:color="auto" w:fill="auto"/>
          </w:tcPr>
          <w:p w:rsidR="00625508" w:rsidRPr="00876857" w:rsidRDefault="00625508" w:rsidP="00841D3A">
            <w:pPr>
              <w:spacing w:line="276" w:lineRule="auto"/>
              <w:jc w:val="left"/>
              <w:rPr>
                <w:lang w:val="en-GB"/>
              </w:rPr>
            </w:pPr>
            <w:r w:rsidRPr="00876857">
              <w:rPr>
                <w:lang w:val="en-GB"/>
              </w:rPr>
              <w:t>Addition to Equity during the year corresponding to 30% of additional capitalisation during the year</w:t>
            </w:r>
          </w:p>
        </w:tc>
        <w:tc>
          <w:tcPr>
            <w:tcW w:w="1536" w:type="dxa"/>
            <w:shd w:val="clear" w:color="auto" w:fill="auto"/>
            <w:vAlign w:val="center"/>
          </w:tcPr>
          <w:p w:rsidR="00625508" w:rsidRPr="00876857" w:rsidRDefault="006D486F" w:rsidP="00841D3A">
            <w:pPr>
              <w:spacing w:line="276" w:lineRule="auto"/>
              <w:jc w:val="center"/>
              <w:rPr>
                <w:color w:val="000000"/>
              </w:rPr>
            </w:pPr>
            <w:r>
              <w:rPr>
                <w:color w:val="000000"/>
              </w:rPr>
              <w:t>2.94</w:t>
            </w:r>
          </w:p>
        </w:tc>
      </w:tr>
      <w:tr w:rsidR="00625508" w:rsidRPr="00876857" w:rsidTr="00204951">
        <w:trPr>
          <w:jc w:val="center"/>
        </w:trPr>
        <w:tc>
          <w:tcPr>
            <w:tcW w:w="3680" w:type="dxa"/>
            <w:shd w:val="clear" w:color="auto" w:fill="auto"/>
          </w:tcPr>
          <w:p w:rsidR="00625508" w:rsidRPr="00876857" w:rsidRDefault="00625508" w:rsidP="00841D3A">
            <w:pPr>
              <w:spacing w:line="276" w:lineRule="auto"/>
              <w:jc w:val="left"/>
              <w:rPr>
                <w:lang w:val="en-GB"/>
              </w:rPr>
            </w:pPr>
            <w:r w:rsidRPr="00876857">
              <w:rPr>
                <w:lang w:val="en-GB"/>
              </w:rPr>
              <w:t>Closing Equity corresponding to additional capitalisation</w:t>
            </w:r>
          </w:p>
        </w:tc>
        <w:tc>
          <w:tcPr>
            <w:tcW w:w="1536" w:type="dxa"/>
            <w:shd w:val="clear" w:color="auto" w:fill="auto"/>
            <w:vAlign w:val="center"/>
          </w:tcPr>
          <w:p w:rsidR="00625508" w:rsidRPr="00876857" w:rsidRDefault="006D486F" w:rsidP="00841D3A">
            <w:pPr>
              <w:spacing w:line="276" w:lineRule="auto"/>
              <w:jc w:val="center"/>
              <w:rPr>
                <w:color w:val="000000"/>
              </w:rPr>
            </w:pPr>
            <w:r>
              <w:rPr>
                <w:color w:val="000000"/>
              </w:rPr>
              <w:t>41.36</w:t>
            </w:r>
          </w:p>
        </w:tc>
      </w:tr>
      <w:tr w:rsidR="00625508" w:rsidRPr="00876857" w:rsidTr="00204951">
        <w:trPr>
          <w:jc w:val="center"/>
        </w:trPr>
        <w:tc>
          <w:tcPr>
            <w:tcW w:w="3680" w:type="dxa"/>
            <w:shd w:val="clear" w:color="auto" w:fill="auto"/>
          </w:tcPr>
          <w:p w:rsidR="00625508" w:rsidRPr="00876857" w:rsidRDefault="00625508" w:rsidP="00841D3A">
            <w:pPr>
              <w:spacing w:line="276" w:lineRule="auto"/>
              <w:jc w:val="left"/>
              <w:rPr>
                <w:b/>
                <w:lang w:val="en-GB"/>
              </w:rPr>
            </w:pPr>
            <w:r w:rsidRPr="00876857">
              <w:rPr>
                <w:b/>
                <w:lang w:val="en-GB"/>
              </w:rPr>
              <w:t xml:space="preserve">Return on Equity corresponding to </w:t>
            </w:r>
            <w:r w:rsidR="00661E71" w:rsidRPr="00841D3A">
              <w:rPr>
                <w:b/>
                <w:lang w:val="en-GB"/>
              </w:rPr>
              <w:t xml:space="preserve">average equity </w:t>
            </w:r>
            <w:r w:rsidR="001008B7">
              <w:rPr>
                <w:b/>
                <w:lang w:val="en-GB"/>
              </w:rPr>
              <w:t xml:space="preserve">towards </w:t>
            </w:r>
            <w:r w:rsidRPr="00876857">
              <w:rPr>
                <w:b/>
                <w:lang w:val="en-GB"/>
              </w:rPr>
              <w:t>additional capitalisation</w:t>
            </w:r>
          </w:p>
        </w:tc>
        <w:tc>
          <w:tcPr>
            <w:tcW w:w="1536" w:type="dxa"/>
            <w:shd w:val="clear" w:color="auto" w:fill="auto"/>
            <w:vAlign w:val="center"/>
          </w:tcPr>
          <w:p w:rsidR="00625508" w:rsidRPr="00876857" w:rsidRDefault="006D486F" w:rsidP="00841D3A">
            <w:pPr>
              <w:spacing w:line="276" w:lineRule="auto"/>
              <w:jc w:val="center"/>
              <w:rPr>
                <w:b/>
                <w:color w:val="000000"/>
              </w:rPr>
            </w:pPr>
            <w:r w:rsidRPr="00841D3A">
              <w:rPr>
                <w:b/>
                <w:color w:val="000000"/>
              </w:rPr>
              <w:t>6.38</w:t>
            </w:r>
          </w:p>
        </w:tc>
      </w:tr>
    </w:tbl>
    <w:p w:rsidR="00876857" w:rsidRPr="00876857" w:rsidRDefault="00876857" w:rsidP="00876857">
      <w:pPr>
        <w:jc w:val="left"/>
        <w:rPr>
          <w:lang w:val="en-GB"/>
        </w:rPr>
      </w:pPr>
    </w:p>
    <w:p w:rsidR="00876857" w:rsidRPr="00876857" w:rsidRDefault="00876857" w:rsidP="00876857">
      <w:pPr>
        <w:widowControl w:val="0"/>
        <w:ind w:left="720" w:hanging="720"/>
        <w:outlineLvl w:val="2"/>
        <w:rPr>
          <w:rFonts w:eastAsia="Times New Roman"/>
          <w:b/>
          <w:bCs/>
          <w:i/>
          <w:szCs w:val="24"/>
          <w:lang w:val="en-GB"/>
        </w:rPr>
      </w:pPr>
      <w:r w:rsidRPr="00876857">
        <w:rPr>
          <w:rFonts w:eastAsia="Times New Roman"/>
          <w:b/>
          <w:bCs/>
          <w:i/>
          <w:szCs w:val="24"/>
          <w:lang w:val="en-GB"/>
        </w:rPr>
        <w:t>Interest on Loan Capital</w:t>
      </w:r>
    </w:p>
    <w:p w:rsidR="00876857" w:rsidRPr="00876857" w:rsidRDefault="00FE2599" w:rsidP="00FE2599">
      <w:pPr>
        <w:pStyle w:val="Heading2"/>
      </w:pPr>
      <w:r>
        <w:t xml:space="preserve">The closing normative </w:t>
      </w:r>
      <w:r w:rsidR="005F5724">
        <w:t>loan for FY 2018-19 as claimed in Case No. 54 of 2018 has been considered as the opening normative loan for FY 2019-20</w:t>
      </w:r>
      <w:r w:rsidR="00876857" w:rsidRPr="00876857">
        <w:t>. The normative loan pertaining to additional capitalisation has been considered as loan addition during the year. The loan repayment for the year has been considered as equal to depreciation for the year. In accordance with Regulation 4.13, the interest rate has been considered as 10.55% which is the actual weighted average rate of interest of the generating company as a whole (on the ongoing loan draw down for OPGC Units 3&amp;4 being availed from PFC and REC)</w:t>
      </w:r>
      <w:r w:rsidR="00DE1CE0">
        <w:t xml:space="preserve"> for FY 2017-18</w:t>
      </w:r>
      <w:r w:rsidR="00876857" w:rsidRPr="00876857">
        <w:t xml:space="preserve">. The interest on loan has been computed on the normative average loan for the year by applying the rate of interest. </w:t>
      </w:r>
    </w:p>
    <w:p w:rsidR="00876857" w:rsidRPr="00876857" w:rsidRDefault="00876857" w:rsidP="00876857">
      <w:pPr>
        <w:jc w:val="left"/>
        <w:rPr>
          <w:lang w:val="en-GB"/>
        </w:rPr>
      </w:pPr>
    </w:p>
    <w:p w:rsidR="00876857" w:rsidRPr="00876857" w:rsidRDefault="00876857" w:rsidP="000262E5">
      <w:pPr>
        <w:pStyle w:val="Heading2"/>
      </w:pPr>
      <w:r w:rsidRPr="00876857">
        <w:t xml:space="preserve">Accordingly, the interest on loan claimed for FY </w:t>
      </w:r>
      <w:r w:rsidR="00E47BA3">
        <w:t>2019-20</w:t>
      </w:r>
      <w:r w:rsidRPr="00876857">
        <w:t xml:space="preserve"> is as under:</w:t>
      </w:r>
    </w:p>
    <w:p w:rsidR="00876857" w:rsidRPr="00876857" w:rsidRDefault="00876857" w:rsidP="00876857">
      <w:pPr>
        <w:jc w:val="left"/>
        <w:rPr>
          <w:lang w:val="en-GB"/>
        </w:rPr>
      </w:pPr>
    </w:p>
    <w:p w:rsidR="00876857" w:rsidRPr="00876857" w:rsidRDefault="00876857" w:rsidP="00876857">
      <w:pPr>
        <w:keepNext/>
        <w:spacing w:line="240" w:lineRule="auto"/>
        <w:jc w:val="center"/>
        <w:rPr>
          <w:b/>
          <w:bCs/>
          <w:szCs w:val="18"/>
        </w:rPr>
      </w:pPr>
      <w:bookmarkStart w:id="411" w:name="_Toc521334852"/>
      <w:bookmarkStart w:id="412" w:name="_Toc530497547"/>
      <w:r w:rsidRPr="00876857">
        <w:rPr>
          <w:b/>
          <w:bCs/>
          <w:szCs w:val="18"/>
        </w:rPr>
        <w:t xml:space="preserve">Table </w:t>
      </w:r>
      <w:r w:rsidR="00687F74" w:rsidRPr="00876857">
        <w:rPr>
          <w:b/>
          <w:bCs/>
          <w:szCs w:val="18"/>
        </w:rPr>
        <w:fldChar w:fldCharType="begin"/>
      </w:r>
      <w:r w:rsidRPr="00876857">
        <w:rPr>
          <w:b/>
          <w:bCs/>
          <w:szCs w:val="18"/>
        </w:rPr>
        <w:instrText xml:space="preserve"> SEQ Table \* ARABIC </w:instrText>
      </w:r>
      <w:r w:rsidR="00687F74" w:rsidRPr="00876857">
        <w:rPr>
          <w:b/>
          <w:bCs/>
          <w:szCs w:val="18"/>
        </w:rPr>
        <w:fldChar w:fldCharType="separate"/>
      </w:r>
      <w:r w:rsidR="008A42C7">
        <w:rPr>
          <w:b/>
          <w:bCs/>
          <w:noProof/>
          <w:szCs w:val="18"/>
        </w:rPr>
        <w:t>12</w:t>
      </w:r>
      <w:r w:rsidR="00687F74" w:rsidRPr="00876857">
        <w:rPr>
          <w:b/>
          <w:bCs/>
          <w:szCs w:val="18"/>
        </w:rPr>
        <w:fldChar w:fldCharType="end"/>
      </w:r>
      <w:r w:rsidRPr="00876857">
        <w:rPr>
          <w:b/>
          <w:bCs/>
          <w:szCs w:val="18"/>
        </w:rPr>
        <w:t xml:space="preserve">: Interest on loan </w:t>
      </w:r>
      <w:r w:rsidR="00E47BA3">
        <w:rPr>
          <w:b/>
          <w:bCs/>
          <w:szCs w:val="18"/>
        </w:rPr>
        <w:t xml:space="preserve">corresponding to additional capitalisation </w:t>
      </w:r>
      <w:r w:rsidRPr="00876857">
        <w:rPr>
          <w:b/>
          <w:bCs/>
          <w:szCs w:val="18"/>
        </w:rPr>
        <w:t>(Rs. Crore)</w:t>
      </w:r>
      <w:bookmarkEnd w:id="411"/>
      <w:bookmarkEnd w:id="4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82"/>
        <w:gridCol w:w="1696"/>
      </w:tblGrid>
      <w:tr w:rsidR="00E47BA3" w:rsidRPr="00876857" w:rsidTr="00E47BA3">
        <w:trPr>
          <w:tblHeader/>
          <w:jc w:val="center"/>
        </w:trPr>
        <w:tc>
          <w:tcPr>
            <w:tcW w:w="4282" w:type="dxa"/>
            <w:shd w:val="clear" w:color="auto" w:fill="FABF8F" w:themeFill="accent6" w:themeFillTint="99"/>
          </w:tcPr>
          <w:p w:rsidR="00E47BA3" w:rsidRPr="00876857" w:rsidRDefault="00E47BA3" w:rsidP="00876857">
            <w:pPr>
              <w:jc w:val="center"/>
              <w:rPr>
                <w:b/>
                <w:lang w:val="en-GB"/>
              </w:rPr>
            </w:pPr>
            <w:r w:rsidRPr="00876857">
              <w:rPr>
                <w:b/>
                <w:lang w:val="en-GB"/>
              </w:rPr>
              <w:t>Particulars</w:t>
            </w:r>
          </w:p>
        </w:tc>
        <w:tc>
          <w:tcPr>
            <w:tcW w:w="1696" w:type="dxa"/>
            <w:shd w:val="clear" w:color="auto" w:fill="FABF8F" w:themeFill="accent6" w:themeFillTint="99"/>
          </w:tcPr>
          <w:p w:rsidR="00E47BA3" w:rsidRPr="00876857" w:rsidRDefault="00E47BA3" w:rsidP="00876857">
            <w:pPr>
              <w:jc w:val="center"/>
              <w:rPr>
                <w:b/>
                <w:lang w:val="en-GB"/>
              </w:rPr>
            </w:pPr>
            <w:r w:rsidRPr="00876857">
              <w:rPr>
                <w:b/>
                <w:lang w:val="en-GB"/>
              </w:rPr>
              <w:t>FY 201</w:t>
            </w:r>
            <w:r>
              <w:rPr>
                <w:b/>
                <w:lang w:val="en-GB"/>
              </w:rPr>
              <w:t>9-20</w:t>
            </w:r>
          </w:p>
        </w:tc>
      </w:tr>
      <w:tr w:rsidR="00E47BA3" w:rsidRPr="00876857" w:rsidTr="00204951">
        <w:trPr>
          <w:jc w:val="center"/>
        </w:trPr>
        <w:tc>
          <w:tcPr>
            <w:tcW w:w="4282" w:type="dxa"/>
            <w:shd w:val="clear" w:color="auto" w:fill="auto"/>
          </w:tcPr>
          <w:p w:rsidR="00E47BA3" w:rsidRPr="00876857" w:rsidRDefault="00E47BA3" w:rsidP="00E47BA3">
            <w:pPr>
              <w:jc w:val="left"/>
              <w:rPr>
                <w:lang w:val="en-GB"/>
              </w:rPr>
            </w:pPr>
            <w:r w:rsidRPr="00876857">
              <w:rPr>
                <w:lang w:val="en-GB"/>
              </w:rPr>
              <w:t>Gross Loan-Opening corresponding to additional capitalisation</w:t>
            </w:r>
          </w:p>
        </w:tc>
        <w:tc>
          <w:tcPr>
            <w:tcW w:w="1696" w:type="dxa"/>
            <w:shd w:val="clear" w:color="auto" w:fill="auto"/>
            <w:vAlign w:val="center"/>
          </w:tcPr>
          <w:p w:rsidR="00E47BA3" w:rsidRPr="00E47BA3" w:rsidRDefault="00E47BA3" w:rsidP="00E47BA3">
            <w:pPr>
              <w:spacing w:line="240" w:lineRule="auto"/>
              <w:jc w:val="right"/>
              <w:rPr>
                <w:szCs w:val="24"/>
              </w:rPr>
            </w:pPr>
            <w:r w:rsidRPr="00E47BA3">
              <w:rPr>
                <w:szCs w:val="24"/>
              </w:rPr>
              <w:t>89.65</w:t>
            </w:r>
          </w:p>
        </w:tc>
      </w:tr>
      <w:tr w:rsidR="00E47BA3" w:rsidRPr="00876857" w:rsidTr="00204951">
        <w:trPr>
          <w:jc w:val="center"/>
        </w:trPr>
        <w:tc>
          <w:tcPr>
            <w:tcW w:w="4282" w:type="dxa"/>
            <w:shd w:val="clear" w:color="auto" w:fill="auto"/>
          </w:tcPr>
          <w:p w:rsidR="00E47BA3" w:rsidRPr="00876857" w:rsidRDefault="00E47BA3" w:rsidP="00E47BA3">
            <w:pPr>
              <w:jc w:val="left"/>
              <w:rPr>
                <w:lang w:val="en-GB"/>
              </w:rPr>
            </w:pPr>
            <w:r w:rsidRPr="00876857">
              <w:rPr>
                <w:lang w:val="en-GB"/>
              </w:rPr>
              <w:t>Cumulative repayment upto previous year</w:t>
            </w:r>
          </w:p>
        </w:tc>
        <w:tc>
          <w:tcPr>
            <w:tcW w:w="1696" w:type="dxa"/>
            <w:shd w:val="clear" w:color="auto" w:fill="auto"/>
            <w:vAlign w:val="center"/>
          </w:tcPr>
          <w:p w:rsidR="00E47BA3" w:rsidRPr="00E47BA3" w:rsidRDefault="00E47BA3" w:rsidP="00E47BA3">
            <w:pPr>
              <w:jc w:val="right"/>
              <w:rPr>
                <w:szCs w:val="24"/>
              </w:rPr>
            </w:pPr>
            <w:r w:rsidRPr="00E47BA3">
              <w:rPr>
                <w:szCs w:val="24"/>
              </w:rPr>
              <w:t>24.43</w:t>
            </w:r>
          </w:p>
        </w:tc>
      </w:tr>
      <w:tr w:rsidR="00E47BA3" w:rsidRPr="00876857" w:rsidTr="00204951">
        <w:trPr>
          <w:jc w:val="center"/>
        </w:trPr>
        <w:tc>
          <w:tcPr>
            <w:tcW w:w="4282" w:type="dxa"/>
            <w:shd w:val="clear" w:color="auto" w:fill="auto"/>
          </w:tcPr>
          <w:p w:rsidR="00E47BA3" w:rsidRPr="00876857" w:rsidRDefault="00E47BA3" w:rsidP="00E47BA3">
            <w:pPr>
              <w:jc w:val="left"/>
              <w:rPr>
                <w:b/>
                <w:lang w:val="en-GB"/>
              </w:rPr>
            </w:pPr>
            <w:r w:rsidRPr="00876857">
              <w:rPr>
                <w:lang w:val="en-GB"/>
              </w:rPr>
              <w:t>Net Loan-Opening corresponding to additional capitalisation</w:t>
            </w:r>
          </w:p>
        </w:tc>
        <w:tc>
          <w:tcPr>
            <w:tcW w:w="1696" w:type="dxa"/>
            <w:shd w:val="clear" w:color="auto" w:fill="auto"/>
            <w:vAlign w:val="center"/>
          </w:tcPr>
          <w:p w:rsidR="00E47BA3" w:rsidRPr="00E47BA3" w:rsidRDefault="00E47BA3" w:rsidP="00E47BA3">
            <w:pPr>
              <w:jc w:val="right"/>
              <w:rPr>
                <w:szCs w:val="24"/>
              </w:rPr>
            </w:pPr>
            <w:r w:rsidRPr="00E47BA3">
              <w:rPr>
                <w:szCs w:val="24"/>
              </w:rPr>
              <w:t>65.22</w:t>
            </w:r>
          </w:p>
        </w:tc>
      </w:tr>
      <w:tr w:rsidR="00E47BA3" w:rsidRPr="00876857" w:rsidTr="00204951">
        <w:trPr>
          <w:jc w:val="center"/>
        </w:trPr>
        <w:tc>
          <w:tcPr>
            <w:tcW w:w="4282" w:type="dxa"/>
            <w:shd w:val="clear" w:color="auto" w:fill="auto"/>
          </w:tcPr>
          <w:p w:rsidR="00E47BA3" w:rsidRPr="00876857" w:rsidRDefault="00E47BA3" w:rsidP="00E47BA3">
            <w:pPr>
              <w:jc w:val="left"/>
              <w:rPr>
                <w:b/>
                <w:lang w:val="en-GB"/>
              </w:rPr>
            </w:pPr>
            <w:r w:rsidRPr="00876857">
              <w:rPr>
                <w:lang w:val="en-GB"/>
              </w:rPr>
              <w:t>Addition to Loan during the year corresponding to 70% of additional capitalisation during the year</w:t>
            </w:r>
          </w:p>
        </w:tc>
        <w:tc>
          <w:tcPr>
            <w:tcW w:w="1696" w:type="dxa"/>
            <w:shd w:val="clear" w:color="auto" w:fill="auto"/>
            <w:vAlign w:val="center"/>
          </w:tcPr>
          <w:p w:rsidR="00E47BA3" w:rsidRPr="00E47BA3" w:rsidRDefault="00E47BA3" w:rsidP="00E47BA3">
            <w:pPr>
              <w:jc w:val="right"/>
              <w:rPr>
                <w:szCs w:val="24"/>
              </w:rPr>
            </w:pPr>
            <w:r w:rsidRPr="00E47BA3">
              <w:rPr>
                <w:szCs w:val="24"/>
              </w:rPr>
              <w:t>6.86</w:t>
            </w:r>
          </w:p>
        </w:tc>
      </w:tr>
      <w:tr w:rsidR="00E47BA3" w:rsidRPr="00876857" w:rsidTr="00204951">
        <w:trPr>
          <w:jc w:val="center"/>
        </w:trPr>
        <w:tc>
          <w:tcPr>
            <w:tcW w:w="4282" w:type="dxa"/>
            <w:shd w:val="clear" w:color="auto" w:fill="auto"/>
          </w:tcPr>
          <w:p w:rsidR="00E47BA3" w:rsidRPr="00876857" w:rsidRDefault="00E47BA3" w:rsidP="00E47BA3">
            <w:pPr>
              <w:jc w:val="left"/>
              <w:rPr>
                <w:lang w:val="en-GB"/>
              </w:rPr>
            </w:pPr>
            <w:r w:rsidRPr="00876857">
              <w:rPr>
                <w:lang w:val="en-GB"/>
              </w:rPr>
              <w:t>Repayment during the year (depreciation)</w:t>
            </w:r>
          </w:p>
        </w:tc>
        <w:tc>
          <w:tcPr>
            <w:tcW w:w="1696" w:type="dxa"/>
            <w:shd w:val="clear" w:color="auto" w:fill="auto"/>
            <w:vAlign w:val="center"/>
          </w:tcPr>
          <w:p w:rsidR="00E47BA3" w:rsidRPr="00E47BA3" w:rsidRDefault="00E47BA3" w:rsidP="00E47BA3">
            <w:pPr>
              <w:jc w:val="right"/>
              <w:rPr>
                <w:szCs w:val="24"/>
              </w:rPr>
            </w:pPr>
            <w:r w:rsidRPr="00E47BA3">
              <w:rPr>
                <w:szCs w:val="24"/>
              </w:rPr>
              <w:t>14.31</w:t>
            </w:r>
          </w:p>
        </w:tc>
      </w:tr>
      <w:tr w:rsidR="00E47BA3" w:rsidRPr="00876857" w:rsidTr="00204951">
        <w:trPr>
          <w:jc w:val="center"/>
        </w:trPr>
        <w:tc>
          <w:tcPr>
            <w:tcW w:w="4282" w:type="dxa"/>
            <w:shd w:val="clear" w:color="auto" w:fill="auto"/>
          </w:tcPr>
          <w:p w:rsidR="00E47BA3" w:rsidRPr="00876857" w:rsidRDefault="00E47BA3" w:rsidP="00E47BA3">
            <w:pPr>
              <w:jc w:val="left"/>
              <w:rPr>
                <w:b/>
                <w:lang w:val="en-GB"/>
              </w:rPr>
            </w:pPr>
            <w:r w:rsidRPr="00876857">
              <w:rPr>
                <w:lang w:val="en-GB"/>
              </w:rPr>
              <w:t>Closing Loan</w:t>
            </w:r>
          </w:p>
        </w:tc>
        <w:tc>
          <w:tcPr>
            <w:tcW w:w="1696" w:type="dxa"/>
            <w:shd w:val="clear" w:color="auto" w:fill="auto"/>
            <w:vAlign w:val="center"/>
          </w:tcPr>
          <w:p w:rsidR="00E47BA3" w:rsidRPr="00E47BA3" w:rsidRDefault="00E47BA3" w:rsidP="00E47BA3">
            <w:pPr>
              <w:jc w:val="right"/>
              <w:rPr>
                <w:szCs w:val="24"/>
              </w:rPr>
            </w:pPr>
            <w:r w:rsidRPr="00E47BA3">
              <w:rPr>
                <w:szCs w:val="24"/>
              </w:rPr>
              <w:t>57.77</w:t>
            </w:r>
          </w:p>
        </w:tc>
      </w:tr>
      <w:tr w:rsidR="00E47BA3" w:rsidRPr="00876857" w:rsidTr="00204951">
        <w:trPr>
          <w:jc w:val="center"/>
        </w:trPr>
        <w:tc>
          <w:tcPr>
            <w:tcW w:w="4282" w:type="dxa"/>
            <w:shd w:val="clear" w:color="auto" w:fill="auto"/>
          </w:tcPr>
          <w:p w:rsidR="00E47BA3" w:rsidRPr="00876857" w:rsidRDefault="00E47BA3" w:rsidP="00E47BA3">
            <w:pPr>
              <w:jc w:val="left"/>
              <w:rPr>
                <w:b/>
                <w:lang w:val="en-GB"/>
              </w:rPr>
            </w:pPr>
            <w:r w:rsidRPr="00876857">
              <w:rPr>
                <w:lang w:val="en-GB"/>
              </w:rPr>
              <w:t xml:space="preserve">Average Loan </w:t>
            </w:r>
          </w:p>
        </w:tc>
        <w:tc>
          <w:tcPr>
            <w:tcW w:w="1696" w:type="dxa"/>
            <w:shd w:val="clear" w:color="auto" w:fill="auto"/>
            <w:vAlign w:val="center"/>
          </w:tcPr>
          <w:p w:rsidR="00E47BA3" w:rsidRPr="00E47BA3" w:rsidRDefault="00E47BA3" w:rsidP="00E47BA3">
            <w:pPr>
              <w:jc w:val="right"/>
              <w:rPr>
                <w:szCs w:val="24"/>
              </w:rPr>
            </w:pPr>
            <w:r w:rsidRPr="00E47BA3">
              <w:rPr>
                <w:szCs w:val="24"/>
              </w:rPr>
              <w:t>61.50</w:t>
            </w:r>
          </w:p>
        </w:tc>
      </w:tr>
      <w:tr w:rsidR="00E47BA3" w:rsidRPr="00876857" w:rsidTr="00204951">
        <w:trPr>
          <w:jc w:val="center"/>
        </w:trPr>
        <w:tc>
          <w:tcPr>
            <w:tcW w:w="4282" w:type="dxa"/>
            <w:shd w:val="clear" w:color="auto" w:fill="auto"/>
          </w:tcPr>
          <w:p w:rsidR="00E47BA3" w:rsidRPr="00876857" w:rsidRDefault="00E47BA3" w:rsidP="00E47BA3">
            <w:pPr>
              <w:jc w:val="left"/>
              <w:rPr>
                <w:lang w:val="en-GB"/>
              </w:rPr>
            </w:pPr>
            <w:r w:rsidRPr="00876857">
              <w:rPr>
                <w:lang w:val="en-GB"/>
              </w:rPr>
              <w:t>Interest Rate (%)</w:t>
            </w:r>
          </w:p>
        </w:tc>
        <w:tc>
          <w:tcPr>
            <w:tcW w:w="1696" w:type="dxa"/>
            <w:shd w:val="clear" w:color="auto" w:fill="auto"/>
            <w:vAlign w:val="center"/>
          </w:tcPr>
          <w:p w:rsidR="00E47BA3" w:rsidRPr="00E47BA3" w:rsidRDefault="00E47BA3" w:rsidP="00E47BA3">
            <w:pPr>
              <w:jc w:val="right"/>
              <w:rPr>
                <w:szCs w:val="24"/>
              </w:rPr>
            </w:pPr>
            <w:r w:rsidRPr="00E47BA3">
              <w:rPr>
                <w:szCs w:val="24"/>
              </w:rPr>
              <w:t>10.55%</w:t>
            </w:r>
          </w:p>
        </w:tc>
      </w:tr>
      <w:tr w:rsidR="00E47BA3" w:rsidRPr="00876857" w:rsidTr="00204951">
        <w:trPr>
          <w:jc w:val="center"/>
        </w:trPr>
        <w:tc>
          <w:tcPr>
            <w:tcW w:w="4282" w:type="dxa"/>
            <w:shd w:val="clear" w:color="auto" w:fill="auto"/>
          </w:tcPr>
          <w:p w:rsidR="00E47BA3" w:rsidRPr="00876857" w:rsidRDefault="00E47BA3" w:rsidP="00E47BA3">
            <w:pPr>
              <w:jc w:val="left"/>
              <w:rPr>
                <w:b/>
                <w:lang w:val="en-GB"/>
              </w:rPr>
            </w:pPr>
            <w:r w:rsidRPr="00876857">
              <w:rPr>
                <w:b/>
                <w:lang w:val="en-GB"/>
              </w:rPr>
              <w:t>Interest on Loan corresponding to additional capitalisation</w:t>
            </w:r>
          </w:p>
        </w:tc>
        <w:tc>
          <w:tcPr>
            <w:tcW w:w="1696" w:type="dxa"/>
            <w:shd w:val="clear" w:color="auto" w:fill="auto"/>
            <w:vAlign w:val="center"/>
          </w:tcPr>
          <w:p w:rsidR="00E47BA3" w:rsidRPr="00E47BA3" w:rsidRDefault="00E47BA3" w:rsidP="00E47BA3">
            <w:pPr>
              <w:jc w:val="right"/>
              <w:rPr>
                <w:b/>
                <w:szCs w:val="24"/>
              </w:rPr>
            </w:pPr>
            <w:r w:rsidRPr="00E47BA3">
              <w:rPr>
                <w:b/>
                <w:szCs w:val="24"/>
              </w:rPr>
              <w:t>6.49</w:t>
            </w:r>
          </w:p>
        </w:tc>
      </w:tr>
    </w:tbl>
    <w:p w:rsidR="00876857" w:rsidRPr="00876857" w:rsidRDefault="00876857" w:rsidP="00876857">
      <w:pPr>
        <w:jc w:val="left"/>
        <w:rPr>
          <w:lang w:val="en-GB"/>
        </w:rPr>
      </w:pPr>
    </w:p>
    <w:p w:rsidR="00876857" w:rsidRPr="00876857" w:rsidRDefault="00876857" w:rsidP="00876857">
      <w:pPr>
        <w:jc w:val="left"/>
        <w:rPr>
          <w:lang w:val="en-GB"/>
        </w:rPr>
      </w:pPr>
    </w:p>
    <w:p w:rsidR="00876857" w:rsidRPr="00876857" w:rsidRDefault="00876857" w:rsidP="00876857">
      <w:pPr>
        <w:widowControl w:val="0"/>
        <w:ind w:left="720" w:hanging="720"/>
        <w:outlineLvl w:val="2"/>
        <w:rPr>
          <w:rFonts w:eastAsia="Times New Roman"/>
          <w:b/>
          <w:bCs/>
          <w:i/>
          <w:szCs w:val="24"/>
          <w:lang w:val="en-GB"/>
        </w:rPr>
      </w:pPr>
      <w:r w:rsidRPr="00876857">
        <w:rPr>
          <w:rFonts w:eastAsia="Times New Roman"/>
          <w:b/>
          <w:bCs/>
          <w:i/>
          <w:szCs w:val="24"/>
          <w:lang w:val="en-GB"/>
        </w:rPr>
        <w:t>Interest on Working Capital</w:t>
      </w:r>
    </w:p>
    <w:p w:rsidR="00876857" w:rsidRPr="00876857" w:rsidRDefault="00876857" w:rsidP="00876857">
      <w:pPr>
        <w:widowControl w:val="0"/>
        <w:numPr>
          <w:ilvl w:val="1"/>
          <w:numId w:val="9"/>
        </w:numPr>
        <w:ind w:left="578" w:hanging="578"/>
        <w:jc w:val="left"/>
        <w:outlineLvl w:val="1"/>
        <w:rPr>
          <w:rFonts w:eastAsia="Times New Roman"/>
          <w:bCs/>
          <w:iCs/>
          <w:szCs w:val="28"/>
          <w:lang w:val="en-GB"/>
        </w:rPr>
      </w:pPr>
      <w:r w:rsidRPr="00876857">
        <w:rPr>
          <w:rFonts w:eastAsia="Times New Roman"/>
          <w:bCs/>
          <w:iCs/>
          <w:szCs w:val="28"/>
          <w:lang w:val="en-GB"/>
        </w:rPr>
        <w:t xml:space="preserve">The Clause 3.0 (f) of Schedule II of the Amended PPA provides the Interest on working Capital as under: </w:t>
      </w:r>
    </w:p>
    <w:p w:rsidR="00876857" w:rsidRPr="00876857" w:rsidRDefault="00876857" w:rsidP="00876857">
      <w:pPr>
        <w:widowControl w:val="0"/>
        <w:ind w:left="1440"/>
        <w:outlineLvl w:val="3"/>
        <w:rPr>
          <w:rFonts w:eastAsia="Times New Roman"/>
          <w:bCs/>
          <w:i/>
          <w:iCs/>
          <w:sz w:val="23"/>
          <w:szCs w:val="23"/>
          <w:lang w:val="en-US"/>
        </w:rPr>
      </w:pPr>
      <w:r w:rsidRPr="00876857">
        <w:rPr>
          <w:rFonts w:eastAsia="Times New Roman"/>
          <w:bCs/>
          <w:i/>
          <w:iCs/>
          <w:sz w:val="23"/>
          <w:szCs w:val="23"/>
          <w:lang w:val="en-US"/>
        </w:rPr>
        <w:t xml:space="preserve">“f) </w:t>
      </w:r>
      <w:r w:rsidRPr="00876857">
        <w:rPr>
          <w:rFonts w:eastAsia="Times New Roman"/>
          <w:bCs/>
          <w:i/>
          <w:iCs/>
          <w:sz w:val="23"/>
          <w:szCs w:val="23"/>
          <w:lang w:val="en-US"/>
        </w:rPr>
        <w:tab/>
        <w:t>Interest on Working Capital will be worked out on the following basis on normative level of generation calculated at the rate of interest applicable to OPGC for its Working capital facility as on the fixed charge computation date</w:t>
      </w:r>
    </w:p>
    <w:p w:rsidR="00876857" w:rsidRPr="00876857" w:rsidRDefault="00876857" w:rsidP="00F26128">
      <w:pPr>
        <w:widowControl w:val="0"/>
        <w:numPr>
          <w:ilvl w:val="0"/>
          <w:numId w:val="46"/>
        </w:numPr>
        <w:jc w:val="left"/>
        <w:outlineLvl w:val="3"/>
        <w:rPr>
          <w:rFonts w:eastAsia="Times New Roman"/>
          <w:bCs/>
          <w:i/>
          <w:iCs/>
          <w:sz w:val="23"/>
          <w:szCs w:val="23"/>
          <w:lang w:val="en-US"/>
        </w:rPr>
      </w:pPr>
      <w:r w:rsidRPr="00876857">
        <w:rPr>
          <w:rFonts w:eastAsia="Times New Roman"/>
          <w:bCs/>
          <w:i/>
          <w:iCs/>
          <w:sz w:val="23"/>
          <w:szCs w:val="23"/>
          <w:lang w:val="en-US"/>
        </w:rPr>
        <w:t>Coal cost for 1.5 months</w:t>
      </w:r>
    </w:p>
    <w:p w:rsidR="00876857" w:rsidRPr="00876857" w:rsidRDefault="00876857" w:rsidP="00F26128">
      <w:pPr>
        <w:widowControl w:val="0"/>
        <w:numPr>
          <w:ilvl w:val="0"/>
          <w:numId w:val="46"/>
        </w:numPr>
        <w:jc w:val="left"/>
        <w:outlineLvl w:val="3"/>
        <w:rPr>
          <w:rFonts w:eastAsia="Times New Roman"/>
          <w:bCs/>
          <w:i/>
          <w:iCs/>
          <w:sz w:val="23"/>
          <w:szCs w:val="23"/>
          <w:lang w:val="en-US"/>
        </w:rPr>
      </w:pPr>
      <w:r w:rsidRPr="00876857">
        <w:rPr>
          <w:rFonts w:eastAsia="Times New Roman"/>
          <w:bCs/>
          <w:i/>
          <w:iCs/>
          <w:sz w:val="23"/>
          <w:szCs w:val="23"/>
          <w:lang w:val="en-US"/>
        </w:rPr>
        <w:t>Oil cost for 2 months</w:t>
      </w:r>
    </w:p>
    <w:p w:rsidR="00876857" w:rsidRPr="00876857" w:rsidRDefault="00876857" w:rsidP="00F26128">
      <w:pPr>
        <w:widowControl w:val="0"/>
        <w:numPr>
          <w:ilvl w:val="0"/>
          <w:numId w:val="46"/>
        </w:numPr>
        <w:jc w:val="left"/>
        <w:outlineLvl w:val="3"/>
        <w:rPr>
          <w:rFonts w:eastAsia="Times New Roman"/>
          <w:bCs/>
          <w:i/>
          <w:iCs/>
          <w:sz w:val="23"/>
          <w:szCs w:val="23"/>
          <w:lang w:val="en-US"/>
        </w:rPr>
      </w:pPr>
      <w:r w:rsidRPr="00876857">
        <w:rPr>
          <w:rFonts w:eastAsia="Times New Roman"/>
          <w:bCs/>
          <w:i/>
          <w:iCs/>
          <w:sz w:val="23"/>
          <w:szCs w:val="23"/>
          <w:lang w:val="en-US"/>
        </w:rPr>
        <w:t>O&amp;M expenses for 1 month</w:t>
      </w:r>
    </w:p>
    <w:p w:rsidR="00876857" w:rsidRPr="00876857" w:rsidRDefault="00876857" w:rsidP="00F26128">
      <w:pPr>
        <w:widowControl w:val="0"/>
        <w:numPr>
          <w:ilvl w:val="0"/>
          <w:numId w:val="46"/>
        </w:numPr>
        <w:jc w:val="left"/>
        <w:outlineLvl w:val="3"/>
        <w:rPr>
          <w:rFonts w:eastAsia="Times New Roman"/>
          <w:bCs/>
          <w:i/>
          <w:iCs/>
          <w:sz w:val="23"/>
          <w:szCs w:val="23"/>
          <w:lang w:val="en-US"/>
        </w:rPr>
      </w:pPr>
      <w:r w:rsidRPr="00876857">
        <w:rPr>
          <w:rFonts w:eastAsia="Times New Roman"/>
          <w:bCs/>
          <w:i/>
          <w:iCs/>
          <w:sz w:val="23"/>
          <w:szCs w:val="23"/>
          <w:lang w:val="en-US"/>
        </w:rPr>
        <w:t>Receivables for 2 months ”</w:t>
      </w:r>
    </w:p>
    <w:p w:rsidR="00876857" w:rsidRPr="00876857" w:rsidRDefault="00876857" w:rsidP="00876857">
      <w:pPr>
        <w:widowControl w:val="0"/>
        <w:ind w:left="576"/>
        <w:outlineLvl w:val="1"/>
        <w:rPr>
          <w:rFonts w:eastAsia="Times New Roman"/>
          <w:bCs/>
          <w:iCs/>
          <w:szCs w:val="28"/>
          <w:lang w:val="en-GB"/>
        </w:rPr>
      </w:pPr>
    </w:p>
    <w:p w:rsidR="00876857" w:rsidRPr="00876857" w:rsidRDefault="00876857" w:rsidP="000262E5">
      <w:pPr>
        <w:pStyle w:val="Heading2"/>
      </w:pPr>
      <w:r w:rsidRPr="00876857">
        <w:t>OPGC would like to submit that, due to AFC on account of the additional capitalisation, there will be change in the receivables.  Accordingly, OPGC is eligible for Interest on Working Capital on two months’ incremental receivables, which has been claimed in the instant Petition.</w:t>
      </w:r>
    </w:p>
    <w:p w:rsidR="00876857" w:rsidRPr="00876857" w:rsidRDefault="00876857" w:rsidP="00876857">
      <w:pPr>
        <w:jc w:val="left"/>
      </w:pPr>
    </w:p>
    <w:p w:rsidR="00876857" w:rsidRPr="00876857" w:rsidRDefault="00876857" w:rsidP="00F26128">
      <w:pPr>
        <w:widowControl w:val="0"/>
        <w:numPr>
          <w:ilvl w:val="1"/>
          <w:numId w:val="9"/>
        </w:numPr>
        <w:ind w:left="578" w:hanging="578"/>
        <w:outlineLvl w:val="1"/>
        <w:rPr>
          <w:rFonts w:eastAsia="Times New Roman"/>
          <w:bCs/>
          <w:iCs/>
          <w:szCs w:val="28"/>
          <w:lang w:val="en-GB"/>
        </w:rPr>
      </w:pPr>
      <w:r w:rsidRPr="00876857">
        <w:rPr>
          <w:rFonts w:eastAsia="Times New Roman"/>
          <w:bCs/>
          <w:iCs/>
          <w:szCs w:val="28"/>
          <w:lang w:val="en-GB"/>
        </w:rPr>
        <w:t>As regards the rate of interest, the above said clause stipulates the interest rate applicable to OPGC for its Working Capital facility. It is submitted that OPGC has been meeting its working capital requirement through internal accruals.</w:t>
      </w:r>
    </w:p>
    <w:p w:rsidR="00876857" w:rsidRPr="00876857" w:rsidRDefault="00876857" w:rsidP="00876857">
      <w:pPr>
        <w:widowControl w:val="0"/>
        <w:outlineLvl w:val="1"/>
        <w:rPr>
          <w:rFonts w:eastAsia="Times New Roman"/>
          <w:bCs/>
          <w:iCs/>
          <w:szCs w:val="28"/>
          <w:lang w:val="en-GB"/>
        </w:rPr>
      </w:pPr>
    </w:p>
    <w:p w:rsidR="00876857" w:rsidRPr="00876857" w:rsidRDefault="00876857" w:rsidP="00F26128">
      <w:pPr>
        <w:pStyle w:val="Heading2"/>
      </w:pPr>
      <w:r w:rsidRPr="00876857">
        <w:t xml:space="preserve">As OPGC had not availed any actual </w:t>
      </w:r>
      <w:r w:rsidRPr="00D73D7D">
        <w:t xml:space="preserve">working capital loan during </w:t>
      </w:r>
      <w:r w:rsidR="00F26128" w:rsidRPr="00D73D7D">
        <w:t>FY 2018-19 till date</w:t>
      </w:r>
      <w:r w:rsidRPr="00D73D7D">
        <w:t xml:space="preserve">, the rate of interest for </w:t>
      </w:r>
      <w:r w:rsidR="00F26128" w:rsidRPr="00D73D7D">
        <w:t>FY 2019-20</w:t>
      </w:r>
      <w:r w:rsidRPr="00D73D7D">
        <w:t xml:space="preserve"> has been considered as </w:t>
      </w:r>
      <w:r w:rsidR="001F2617" w:rsidRPr="00D73D7D">
        <w:t>11.50</w:t>
      </w:r>
      <w:r w:rsidRPr="00D73D7D">
        <w:t xml:space="preserve">% </w:t>
      </w:r>
      <w:r w:rsidRPr="00D73D7D">
        <w:rPr>
          <w:szCs w:val="24"/>
        </w:rPr>
        <w:t>in accordance</w:t>
      </w:r>
      <w:r w:rsidRPr="00876857">
        <w:rPr>
          <w:szCs w:val="24"/>
        </w:rPr>
        <w:t xml:space="preserve"> with the 2014 Tariff Regulations</w:t>
      </w:r>
      <w:r w:rsidR="00F26128">
        <w:rPr>
          <w:szCs w:val="24"/>
        </w:rPr>
        <w:t>.</w:t>
      </w:r>
    </w:p>
    <w:p w:rsidR="00876857" w:rsidRPr="00876857" w:rsidRDefault="00876857" w:rsidP="00876857">
      <w:pPr>
        <w:jc w:val="left"/>
        <w:rPr>
          <w:lang w:val="en-GB"/>
        </w:rPr>
      </w:pPr>
    </w:p>
    <w:p w:rsidR="00876857" w:rsidRPr="00876857" w:rsidRDefault="00876857" w:rsidP="00F26128">
      <w:pPr>
        <w:widowControl w:val="0"/>
        <w:numPr>
          <w:ilvl w:val="1"/>
          <w:numId w:val="9"/>
        </w:numPr>
        <w:ind w:left="578" w:hanging="578"/>
        <w:outlineLvl w:val="1"/>
        <w:rPr>
          <w:rFonts w:eastAsia="Times New Roman"/>
          <w:bCs/>
          <w:iCs/>
          <w:szCs w:val="28"/>
          <w:lang w:val="en-GB"/>
        </w:rPr>
      </w:pPr>
      <w:r w:rsidRPr="00876857">
        <w:rPr>
          <w:rFonts w:eastAsia="Times New Roman"/>
          <w:bCs/>
          <w:iCs/>
          <w:szCs w:val="28"/>
          <w:lang w:val="en-GB"/>
        </w:rPr>
        <w:t>Hon’ble Supreme Court in its Order dated April 19, 2018 ruled that for the costs not reflected in the PPA, the statutory Regulations may be applied. Further, Hon’ble APTEL in its Judgment dated May 28, 2009 in Appeal No. 111 of 2008 ruled as under:</w:t>
      </w:r>
    </w:p>
    <w:p w:rsidR="00876857" w:rsidRPr="00876857" w:rsidRDefault="00876857" w:rsidP="00876857">
      <w:pPr>
        <w:ind w:left="1440"/>
        <w:rPr>
          <w:i/>
          <w:lang w:val="en-GB"/>
        </w:rPr>
      </w:pPr>
      <w:r w:rsidRPr="00876857">
        <w:rPr>
          <w:i/>
          <w:lang w:val="en-GB"/>
        </w:rPr>
        <w:t>“7) The Commission observed that in actual fact no amount has been paid towards interest. Therefore, the entire interest on working capital granted as pass through in tariff has been treated as efficiency gain. It is true that internal funds also deserve interest in as much as the internal fund when employed as working capital loses the interest it could have earned by investment elsewhere. Further the licensee can never have any funds which has no cost. The internal accruals are not like some reserve which does not carry any cost……….”</w:t>
      </w:r>
    </w:p>
    <w:p w:rsidR="00876857" w:rsidRPr="00876857" w:rsidRDefault="00876857" w:rsidP="00876857">
      <w:pPr>
        <w:jc w:val="left"/>
      </w:pPr>
    </w:p>
    <w:p w:rsidR="00876857" w:rsidRPr="00876857" w:rsidRDefault="00876857" w:rsidP="00F26128">
      <w:pPr>
        <w:widowControl w:val="0"/>
        <w:numPr>
          <w:ilvl w:val="1"/>
          <w:numId w:val="9"/>
        </w:numPr>
        <w:ind w:left="578" w:hanging="578"/>
        <w:outlineLvl w:val="1"/>
        <w:rPr>
          <w:rFonts w:eastAsia="Times New Roman"/>
          <w:bCs/>
          <w:iCs/>
          <w:szCs w:val="28"/>
          <w:lang w:val="en-GB"/>
        </w:rPr>
      </w:pPr>
      <w:r w:rsidRPr="00876857">
        <w:rPr>
          <w:rFonts w:eastAsia="Times New Roman"/>
          <w:bCs/>
          <w:iCs/>
          <w:szCs w:val="28"/>
          <w:lang w:val="en-GB"/>
        </w:rPr>
        <w:t>In light of the above stated Judgments of Hon’ble Supreme Court and Hon’ble APTEL, OPGC requests the Hon’ble OERC to approve the interest on working capital considering the rate of interest in accordance with Regulation 4.26 of the 2014 Tariff Regulations.</w:t>
      </w:r>
    </w:p>
    <w:p w:rsidR="00876857" w:rsidRPr="00876857" w:rsidRDefault="00876857" w:rsidP="00876857">
      <w:pPr>
        <w:jc w:val="left"/>
      </w:pPr>
    </w:p>
    <w:p w:rsidR="00876857" w:rsidRPr="00876857" w:rsidRDefault="00876857" w:rsidP="00A05145">
      <w:pPr>
        <w:widowControl w:val="0"/>
        <w:numPr>
          <w:ilvl w:val="1"/>
          <w:numId w:val="9"/>
        </w:numPr>
        <w:ind w:left="578" w:hanging="578"/>
        <w:outlineLvl w:val="1"/>
        <w:rPr>
          <w:rFonts w:eastAsia="Times New Roman"/>
          <w:bCs/>
          <w:iCs/>
          <w:szCs w:val="28"/>
          <w:lang w:val="en-GB"/>
        </w:rPr>
      </w:pPr>
      <w:r w:rsidRPr="00876857">
        <w:rPr>
          <w:rFonts w:eastAsia="Times New Roman"/>
          <w:bCs/>
          <w:iCs/>
          <w:szCs w:val="28"/>
          <w:lang w:val="en-GB"/>
        </w:rPr>
        <w:t>Accordingly, the interest on working capital claimed for FY 201</w:t>
      </w:r>
      <w:r w:rsidR="00A05145">
        <w:rPr>
          <w:rFonts w:eastAsia="Times New Roman"/>
          <w:bCs/>
          <w:iCs/>
          <w:szCs w:val="28"/>
          <w:lang w:val="en-GB"/>
        </w:rPr>
        <w:t>9</w:t>
      </w:r>
      <w:r w:rsidRPr="00876857">
        <w:rPr>
          <w:rFonts w:eastAsia="Times New Roman"/>
          <w:bCs/>
          <w:iCs/>
          <w:szCs w:val="28"/>
          <w:lang w:val="en-GB"/>
        </w:rPr>
        <w:t>-</w:t>
      </w:r>
      <w:r w:rsidR="00A05145">
        <w:rPr>
          <w:rFonts w:eastAsia="Times New Roman"/>
          <w:bCs/>
          <w:iCs/>
          <w:szCs w:val="28"/>
          <w:lang w:val="en-GB"/>
        </w:rPr>
        <w:t>20</w:t>
      </w:r>
      <w:r w:rsidRPr="00876857">
        <w:rPr>
          <w:rFonts w:eastAsia="Times New Roman"/>
          <w:bCs/>
          <w:iCs/>
          <w:szCs w:val="28"/>
          <w:lang w:val="en-GB"/>
        </w:rPr>
        <w:t xml:space="preserve"> for the Annual Fixed Cost computed corresponding to additional capitalisation is as under:</w:t>
      </w:r>
    </w:p>
    <w:p w:rsidR="00876857" w:rsidRPr="00876857" w:rsidRDefault="00876857" w:rsidP="00876857">
      <w:pPr>
        <w:jc w:val="left"/>
        <w:rPr>
          <w:lang w:val="en-GB"/>
        </w:rPr>
      </w:pPr>
    </w:p>
    <w:p w:rsidR="00876857" w:rsidRPr="00876857" w:rsidRDefault="00876857" w:rsidP="00876857">
      <w:pPr>
        <w:keepNext/>
        <w:spacing w:line="240" w:lineRule="auto"/>
        <w:jc w:val="center"/>
        <w:rPr>
          <w:b/>
          <w:bCs/>
          <w:szCs w:val="18"/>
        </w:rPr>
      </w:pPr>
      <w:bookmarkStart w:id="413" w:name="_Toc521334853"/>
      <w:bookmarkStart w:id="414" w:name="_Toc530497548"/>
      <w:r w:rsidRPr="00876857">
        <w:rPr>
          <w:b/>
          <w:bCs/>
          <w:szCs w:val="18"/>
        </w:rPr>
        <w:t xml:space="preserve">Table </w:t>
      </w:r>
      <w:r w:rsidR="00687F74" w:rsidRPr="00876857">
        <w:rPr>
          <w:b/>
          <w:bCs/>
          <w:szCs w:val="18"/>
        </w:rPr>
        <w:fldChar w:fldCharType="begin"/>
      </w:r>
      <w:r w:rsidRPr="00876857">
        <w:rPr>
          <w:b/>
          <w:bCs/>
          <w:szCs w:val="18"/>
        </w:rPr>
        <w:instrText xml:space="preserve"> SEQ Table \* ARABIC </w:instrText>
      </w:r>
      <w:r w:rsidR="00687F74" w:rsidRPr="00876857">
        <w:rPr>
          <w:b/>
          <w:bCs/>
          <w:szCs w:val="18"/>
        </w:rPr>
        <w:fldChar w:fldCharType="separate"/>
      </w:r>
      <w:r w:rsidR="008A42C7">
        <w:rPr>
          <w:b/>
          <w:bCs/>
          <w:noProof/>
          <w:szCs w:val="18"/>
        </w:rPr>
        <w:t>13</w:t>
      </w:r>
      <w:r w:rsidR="00687F74" w:rsidRPr="00876857">
        <w:rPr>
          <w:b/>
          <w:bCs/>
          <w:szCs w:val="18"/>
        </w:rPr>
        <w:fldChar w:fldCharType="end"/>
      </w:r>
      <w:r w:rsidRPr="00876857">
        <w:rPr>
          <w:b/>
          <w:bCs/>
          <w:szCs w:val="18"/>
        </w:rPr>
        <w:t xml:space="preserve">: Interest on working capital </w:t>
      </w:r>
      <w:r w:rsidR="00A05145">
        <w:rPr>
          <w:b/>
          <w:bCs/>
          <w:szCs w:val="18"/>
        </w:rPr>
        <w:t>corresponding to additional capitalisation</w:t>
      </w:r>
      <w:r w:rsidRPr="00876857">
        <w:rPr>
          <w:b/>
          <w:bCs/>
          <w:szCs w:val="18"/>
        </w:rPr>
        <w:t xml:space="preserve"> (Rs. Crore)</w:t>
      </w:r>
      <w:bookmarkEnd w:id="413"/>
      <w:bookmarkEnd w:id="4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28"/>
        <w:gridCol w:w="1516"/>
      </w:tblGrid>
      <w:tr w:rsidR="00A05145" w:rsidRPr="00876857" w:rsidTr="00A05145">
        <w:trPr>
          <w:tblHeader/>
          <w:jc w:val="center"/>
        </w:trPr>
        <w:tc>
          <w:tcPr>
            <w:tcW w:w="3628" w:type="dxa"/>
            <w:shd w:val="clear" w:color="auto" w:fill="FABF8F" w:themeFill="accent6" w:themeFillTint="99"/>
          </w:tcPr>
          <w:p w:rsidR="00A05145" w:rsidRPr="00876857" w:rsidRDefault="00A05145" w:rsidP="00876857">
            <w:pPr>
              <w:jc w:val="center"/>
              <w:rPr>
                <w:b/>
                <w:lang w:val="en-GB"/>
              </w:rPr>
            </w:pPr>
            <w:r w:rsidRPr="00876857">
              <w:rPr>
                <w:b/>
                <w:lang w:val="en-GB"/>
              </w:rPr>
              <w:t>Particulars</w:t>
            </w:r>
          </w:p>
        </w:tc>
        <w:tc>
          <w:tcPr>
            <w:tcW w:w="1516" w:type="dxa"/>
            <w:shd w:val="clear" w:color="auto" w:fill="FABF8F" w:themeFill="accent6" w:themeFillTint="99"/>
          </w:tcPr>
          <w:p w:rsidR="00A05145" w:rsidRPr="00876857" w:rsidRDefault="00A05145" w:rsidP="00876857">
            <w:pPr>
              <w:jc w:val="center"/>
              <w:rPr>
                <w:b/>
                <w:lang w:val="en-GB"/>
              </w:rPr>
            </w:pPr>
            <w:r>
              <w:rPr>
                <w:b/>
                <w:lang w:val="en-GB"/>
              </w:rPr>
              <w:t>FY 2019-20</w:t>
            </w:r>
          </w:p>
        </w:tc>
      </w:tr>
      <w:tr w:rsidR="00A05145" w:rsidRPr="00876857" w:rsidTr="00204951">
        <w:trPr>
          <w:jc w:val="center"/>
        </w:trPr>
        <w:tc>
          <w:tcPr>
            <w:tcW w:w="3628" w:type="dxa"/>
            <w:shd w:val="clear" w:color="auto" w:fill="auto"/>
          </w:tcPr>
          <w:p w:rsidR="00A05145" w:rsidRPr="00876857" w:rsidRDefault="00A05145" w:rsidP="00876857">
            <w:pPr>
              <w:jc w:val="left"/>
              <w:rPr>
                <w:lang w:val="en-GB"/>
              </w:rPr>
            </w:pPr>
            <w:r w:rsidRPr="00876857">
              <w:rPr>
                <w:lang w:val="en-GB"/>
              </w:rPr>
              <w:t>Interest on working capital</w:t>
            </w:r>
          </w:p>
        </w:tc>
        <w:tc>
          <w:tcPr>
            <w:tcW w:w="1516" w:type="dxa"/>
            <w:shd w:val="clear" w:color="auto" w:fill="auto"/>
            <w:vAlign w:val="center"/>
          </w:tcPr>
          <w:p w:rsidR="00A05145" w:rsidRPr="00876857" w:rsidRDefault="00A05145" w:rsidP="00876857">
            <w:pPr>
              <w:spacing w:line="240" w:lineRule="auto"/>
              <w:jc w:val="center"/>
              <w:rPr>
                <w:color w:val="000000"/>
              </w:rPr>
            </w:pPr>
            <w:r>
              <w:rPr>
                <w:color w:val="000000"/>
              </w:rPr>
              <w:t>0.</w:t>
            </w:r>
            <w:r w:rsidR="001F2617">
              <w:rPr>
                <w:color w:val="000000"/>
              </w:rPr>
              <w:t>53</w:t>
            </w:r>
          </w:p>
        </w:tc>
      </w:tr>
    </w:tbl>
    <w:p w:rsidR="00876857" w:rsidRPr="00876857" w:rsidRDefault="00876857" w:rsidP="00876857">
      <w:pPr>
        <w:jc w:val="left"/>
        <w:rPr>
          <w:lang w:val="en-GB"/>
        </w:rPr>
      </w:pPr>
    </w:p>
    <w:p w:rsidR="00876857" w:rsidRPr="00876857" w:rsidRDefault="00876857" w:rsidP="00876857">
      <w:pPr>
        <w:widowControl w:val="0"/>
        <w:ind w:left="720" w:hanging="720"/>
        <w:outlineLvl w:val="2"/>
        <w:rPr>
          <w:rFonts w:eastAsia="Times New Roman"/>
          <w:b/>
          <w:bCs/>
          <w:i/>
          <w:szCs w:val="24"/>
          <w:lang w:val="en-GB"/>
        </w:rPr>
      </w:pPr>
      <w:r w:rsidRPr="00876857">
        <w:rPr>
          <w:rFonts w:eastAsia="Times New Roman"/>
          <w:b/>
          <w:bCs/>
          <w:i/>
          <w:szCs w:val="24"/>
          <w:lang w:val="en-GB"/>
        </w:rPr>
        <w:t>Summary of Annual Fixed Cost corresponding to additional capitalisation</w:t>
      </w:r>
    </w:p>
    <w:p w:rsidR="00876857" w:rsidRDefault="00876857" w:rsidP="001267FD">
      <w:pPr>
        <w:pStyle w:val="Heading2"/>
      </w:pPr>
      <w:r w:rsidRPr="00876857">
        <w:t>The Annual Fixed Cost corresponding to additional capitalisation is summarised in the Table below:</w:t>
      </w:r>
    </w:p>
    <w:p w:rsidR="001267FD" w:rsidRPr="001267FD" w:rsidRDefault="001267FD" w:rsidP="001267FD">
      <w:pPr>
        <w:rPr>
          <w:lang w:val="en-GB"/>
        </w:rPr>
      </w:pPr>
    </w:p>
    <w:p w:rsidR="00876857" w:rsidRPr="00876857" w:rsidRDefault="00876857" w:rsidP="00876857">
      <w:pPr>
        <w:keepNext/>
        <w:spacing w:line="240" w:lineRule="auto"/>
        <w:jc w:val="center"/>
        <w:rPr>
          <w:b/>
          <w:bCs/>
          <w:szCs w:val="18"/>
        </w:rPr>
      </w:pPr>
      <w:bookmarkStart w:id="415" w:name="_Toc521334854"/>
      <w:bookmarkStart w:id="416" w:name="_Toc530497549"/>
      <w:r w:rsidRPr="00876857">
        <w:rPr>
          <w:b/>
          <w:bCs/>
          <w:szCs w:val="18"/>
        </w:rPr>
        <w:t xml:space="preserve">Table </w:t>
      </w:r>
      <w:r w:rsidR="00687F74" w:rsidRPr="00876857">
        <w:rPr>
          <w:b/>
          <w:bCs/>
          <w:szCs w:val="18"/>
        </w:rPr>
        <w:fldChar w:fldCharType="begin"/>
      </w:r>
      <w:r w:rsidRPr="00876857">
        <w:rPr>
          <w:b/>
          <w:bCs/>
          <w:szCs w:val="18"/>
        </w:rPr>
        <w:instrText xml:space="preserve"> SEQ Table \* ARABIC </w:instrText>
      </w:r>
      <w:r w:rsidR="00687F74" w:rsidRPr="00876857">
        <w:rPr>
          <w:b/>
          <w:bCs/>
          <w:szCs w:val="18"/>
        </w:rPr>
        <w:fldChar w:fldCharType="separate"/>
      </w:r>
      <w:r w:rsidR="008A42C7">
        <w:rPr>
          <w:b/>
          <w:bCs/>
          <w:noProof/>
          <w:szCs w:val="18"/>
        </w:rPr>
        <w:t>14</w:t>
      </w:r>
      <w:r w:rsidR="00687F74" w:rsidRPr="00876857">
        <w:rPr>
          <w:b/>
          <w:bCs/>
          <w:szCs w:val="18"/>
        </w:rPr>
        <w:fldChar w:fldCharType="end"/>
      </w:r>
      <w:r w:rsidRPr="00876857">
        <w:rPr>
          <w:b/>
          <w:bCs/>
          <w:szCs w:val="18"/>
        </w:rPr>
        <w:t>: Annual Fixed Cost corresponding to additional capitalisation (Rs. Crore)</w:t>
      </w:r>
      <w:bookmarkEnd w:id="415"/>
      <w:bookmarkEnd w:id="416"/>
    </w:p>
    <w:tbl>
      <w:tblPr>
        <w:tblW w:w="23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tblPr>
      <w:tblGrid>
        <w:gridCol w:w="2798"/>
        <w:gridCol w:w="1558"/>
      </w:tblGrid>
      <w:tr w:rsidR="000E3508" w:rsidRPr="00876857" w:rsidTr="000E3508">
        <w:trPr>
          <w:trHeight w:val="113"/>
          <w:tblHeader/>
          <w:jc w:val="center"/>
        </w:trPr>
        <w:tc>
          <w:tcPr>
            <w:tcW w:w="3212" w:type="pct"/>
            <w:shd w:val="clear" w:color="auto" w:fill="FABF8F"/>
            <w:vAlign w:val="center"/>
            <w:hideMark/>
          </w:tcPr>
          <w:p w:rsidR="000E3508" w:rsidRPr="00876857" w:rsidRDefault="000E3508" w:rsidP="00876857">
            <w:pPr>
              <w:widowControl w:val="0"/>
              <w:spacing w:line="276" w:lineRule="auto"/>
              <w:ind w:left="112"/>
              <w:jc w:val="left"/>
              <w:rPr>
                <w:rFonts w:eastAsia="Times New Roman"/>
                <w:b/>
                <w:szCs w:val="24"/>
                <w:lang w:val="en-US"/>
              </w:rPr>
            </w:pPr>
            <w:r w:rsidRPr="00876857">
              <w:rPr>
                <w:rFonts w:eastAsia="Times New Roman"/>
                <w:b/>
                <w:szCs w:val="24"/>
                <w:lang w:val="en-US"/>
              </w:rPr>
              <w:t>Particulars</w:t>
            </w:r>
          </w:p>
        </w:tc>
        <w:tc>
          <w:tcPr>
            <w:tcW w:w="1788" w:type="pct"/>
            <w:shd w:val="clear" w:color="auto" w:fill="FABF8F"/>
            <w:vAlign w:val="center"/>
          </w:tcPr>
          <w:p w:rsidR="000E3508" w:rsidRPr="00876857" w:rsidRDefault="000E3508" w:rsidP="00876857">
            <w:pPr>
              <w:widowControl w:val="0"/>
              <w:spacing w:line="276" w:lineRule="auto"/>
              <w:jc w:val="center"/>
              <w:rPr>
                <w:b/>
                <w:szCs w:val="24"/>
              </w:rPr>
            </w:pPr>
            <w:r w:rsidRPr="00876857">
              <w:rPr>
                <w:b/>
                <w:szCs w:val="24"/>
              </w:rPr>
              <w:t>FY 201</w:t>
            </w:r>
            <w:r>
              <w:rPr>
                <w:b/>
                <w:szCs w:val="24"/>
              </w:rPr>
              <w:t>9-20</w:t>
            </w:r>
          </w:p>
        </w:tc>
      </w:tr>
      <w:tr w:rsidR="000E3508" w:rsidRPr="00876857" w:rsidTr="000E3508">
        <w:trPr>
          <w:trHeight w:val="113"/>
          <w:jc w:val="center"/>
        </w:trPr>
        <w:tc>
          <w:tcPr>
            <w:tcW w:w="3212" w:type="pct"/>
            <w:shd w:val="clear" w:color="auto" w:fill="auto"/>
            <w:vAlign w:val="center"/>
          </w:tcPr>
          <w:p w:rsidR="000E3508" w:rsidRPr="00876857" w:rsidRDefault="000E3508" w:rsidP="00876857">
            <w:pPr>
              <w:widowControl w:val="0"/>
              <w:spacing w:line="276" w:lineRule="auto"/>
              <w:ind w:left="112"/>
              <w:jc w:val="left"/>
              <w:rPr>
                <w:rFonts w:eastAsia="Times New Roman"/>
                <w:szCs w:val="24"/>
                <w:lang w:val="en-US"/>
              </w:rPr>
            </w:pPr>
            <w:r w:rsidRPr="00876857">
              <w:rPr>
                <w:rFonts w:eastAsia="Times New Roman"/>
                <w:szCs w:val="24"/>
                <w:lang w:val="en-US"/>
              </w:rPr>
              <w:t>Depreciation</w:t>
            </w:r>
          </w:p>
        </w:tc>
        <w:tc>
          <w:tcPr>
            <w:tcW w:w="1788" w:type="pct"/>
            <w:vAlign w:val="center"/>
          </w:tcPr>
          <w:p w:rsidR="000E3508" w:rsidRPr="00876857" w:rsidRDefault="000E3508" w:rsidP="00876857">
            <w:pPr>
              <w:spacing w:line="240" w:lineRule="auto"/>
              <w:jc w:val="center"/>
              <w:rPr>
                <w:color w:val="000000"/>
                <w:szCs w:val="24"/>
              </w:rPr>
            </w:pPr>
            <w:r>
              <w:rPr>
                <w:color w:val="000000"/>
                <w:szCs w:val="24"/>
              </w:rPr>
              <w:t>14.24</w:t>
            </w:r>
          </w:p>
        </w:tc>
      </w:tr>
      <w:tr w:rsidR="000E3508" w:rsidRPr="00876857" w:rsidTr="000E3508">
        <w:trPr>
          <w:trHeight w:val="113"/>
          <w:jc w:val="center"/>
        </w:trPr>
        <w:tc>
          <w:tcPr>
            <w:tcW w:w="3212" w:type="pct"/>
            <w:shd w:val="clear" w:color="auto" w:fill="auto"/>
            <w:vAlign w:val="center"/>
          </w:tcPr>
          <w:p w:rsidR="000E3508" w:rsidRPr="00876857" w:rsidRDefault="000E3508" w:rsidP="00876857">
            <w:pPr>
              <w:widowControl w:val="0"/>
              <w:spacing w:line="276" w:lineRule="auto"/>
              <w:ind w:left="112"/>
              <w:jc w:val="left"/>
              <w:rPr>
                <w:rFonts w:eastAsia="Times New Roman"/>
                <w:szCs w:val="24"/>
                <w:lang w:val="en-US"/>
              </w:rPr>
            </w:pPr>
            <w:r w:rsidRPr="00876857">
              <w:rPr>
                <w:rFonts w:eastAsia="Times New Roman"/>
                <w:szCs w:val="24"/>
                <w:lang w:val="en-US"/>
              </w:rPr>
              <w:t>Return on Equity</w:t>
            </w:r>
          </w:p>
        </w:tc>
        <w:tc>
          <w:tcPr>
            <w:tcW w:w="1788" w:type="pct"/>
            <w:vAlign w:val="center"/>
          </w:tcPr>
          <w:p w:rsidR="000E3508" w:rsidRPr="00876857" w:rsidRDefault="000E3508" w:rsidP="00876857">
            <w:pPr>
              <w:spacing w:line="240" w:lineRule="auto"/>
              <w:jc w:val="center"/>
              <w:rPr>
                <w:color w:val="000000"/>
                <w:szCs w:val="24"/>
              </w:rPr>
            </w:pPr>
            <w:r>
              <w:rPr>
                <w:color w:val="000000"/>
                <w:szCs w:val="24"/>
              </w:rPr>
              <w:t>6.38</w:t>
            </w:r>
          </w:p>
        </w:tc>
      </w:tr>
      <w:tr w:rsidR="000E3508" w:rsidRPr="00876857" w:rsidTr="000E3508">
        <w:trPr>
          <w:trHeight w:val="113"/>
          <w:jc w:val="center"/>
        </w:trPr>
        <w:tc>
          <w:tcPr>
            <w:tcW w:w="3212" w:type="pct"/>
            <w:shd w:val="clear" w:color="auto" w:fill="auto"/>
            <w:vAlign w:val="center"/>
          </w:tcPr>
          <w:p w:rsidR="000E3508" w:rsidRPr="00876857" w:rsidRDefault="000E3508" w:rsidP="00876857">
            <w:pPr>
              <w:widowControl w:val="0"/>
              <w:spacing w:line="276" w:lineRule="auto"/>
              <w:ind w:left="112"/>
              <w:jc w:val="left"/>
              <w:rPr>
                <w:rFonts w:eastAsia="Times New Roman"/>
                <w:szCs w:val="24"/>
                <w:lang w:val="en-US"/>
              </w:rPr>
            </w:pPr>
            <w:r w:rsidRPr="00876857">
              <w:rPr>
                <w:rFonts w:eastAsia="Times New Roman"/>
                <w:szCs w:val="24"/>
                <w:lang w:val="en-US"/>
              </w:rPr>
              <w:t>Interest on loan</w:t>
            </w:r>
          </w:p>
        </w:tc>
        <w:tc>
          <w:tcPr>
            <w:tcW w:w="1788" w:type="pct"/>
            <w:vAlign w:val="center"/>
          </w:tcPr>
          <w:p w:rsidR="000E3508" w:rsidRPr="00876857" w:rsidRDefault="000E3508" w:rsidP="00876857">
            <w:pPr>
              <w:spacing w:line="240" w:lineRule="auto"/>
              <w:jc w:val="center"/>
              <w:rPr>
                <w:color w:val="000000"/>
                <w:szCs w:val="24"/>
              </w:rPr>
            </w:pPr>
            <w:r>
              <w:rPr>
                <w:color w:val="000000"/>
                <w:szCs w:val="24"/>
              </w:rPr>
              <w:t>6.49</w:t>
            </w:r>
          </w:p>
        </w:tc>
      </w:tr>
      <w:tr w:rsidR="000E3508" w:rsidRPr="00876857" w:rsidTr="000E3508">
        <w:trPr>
          <w:trHeight w:val="113"/>
          <w:jc w:val="center"/>
        </w:trPr>
        <w:tc>
          <w:tcPr>
            <w:tcW w:w="3212" w:type="pct"/>
            <w:shd w:val="clear" w:color="auto" w:fill="auto"/>
            <w:vAlign w:val="center"/>
          </w:tcPr>
          <w:p w:rsidR="000E3508" w:rsidRPr="00876857" w:rsidRDefault="000E3508" w:rsidP="00876857">
            <w:pPr>
              <w:widowControl w:val="0"/>
              <w:spacing w:line="276" w:lineRule="auto"/>
              <w:ind w:left="112"/>
              <w:jc w:val="left"/>
              <w:rPr>
                <w:rFonts w:eastAsia="Times New Roman"/>
                <w:szCs w:val="24"/>
                <w:lang w:val="en-US"/>
              </w:rPr>
            </w:pPr>
            <w:r w:rsidRPr="00876857">
              <w:rPr>
                <w:rFonts w:eastAsia="Times New Roman"/>
                <w:szCs w:val="24"/>
                <w:lang w:val="en-US"/>
              </w:rPr>
              <w:t>Interest on working capital</w:t>
            </w:r>
          </w:p>
        </w:tc>
        <w:tc>
          <w:tcPr>
            <w:tcW w:w="1788" w:type="pct"/>
            <w:vAlign w:val="center"/>
          </w:tcPr>
          <w:p w:rsidR="000E3508" w:rsidRPr="00876857" w:rsidRDefault="000E3508" w:rsidP="00876857">
            <w:pPr>
              <w:spacing w:line="240" w:lineRule="auto"/>
              <w:jc w:val="center"/>
              <w:rPr>
                <w:color w:val="000000"/>
                <w:szCs w:val="24"/>
              </w:rPr>
            </w:pPr>
            <w:r>
              <w:rPr>
                <w:color w:val="000000"/>
                <w:szCs w:val="24"/>
              </w:rPr>
              <w:t>0.</w:t>
            </w:r>
            <w:r w:rsidR="001F2617">
              <w:rPr>
                <w:color w:val="000000"/>
                <w:szCs w:val="24"/>
              </w:rPr>
              <w:t>53</w:t>
            </w:r>
          </w:p>
        </w:tc>
      </w:tr>
      <w:tr w:rsidR="000E3508" w:rsidRPr="00876857" w:rsidTr="000E3508">
        <w:trPr>
          <w:trHeight w:val="113"/>
          <w:jc w:val="center"/>
        </w:trPr>
        <w:tc>
          <w:tcPr>
            <w:tcW w:w="3212" w:type="pct"/>
            <w:shd w:val="clear" w:color="auto" w:fill="auto"/>
            <w:vAlign w:val="center"/>
          </w:tcPr>
          <w:p w:rsidR="000E3508" w:rsidRPr="00876857" w:rsidRDefault="000E3508" w:rsidP="00876857">
            <w:pPr>
              <w:widowControl w:val="0"/>
              <w:spacing w:line="276" w:lineRule="auto"/>
              <w:ind w:left="112"/>
              <w:jc w:val="left"/>
              <w:rPr>
                <w:rFonts w:eastAsia="Times New Roman"/>
                <w:b/>
                <w:szCs w:val="24"/>
                <w:lang w:val="en-US"/>
              </w:rPr>
            </w:pPr>
            <w:r w:rsidRPr="00876857">
              <w:rPr>
                <w:rFonts w:eastAsia="Times New Roman"/>
                <w:b/>
                <w:szCs w:val="24"/>
                <w:lang w:val="en-US"/>
              </w:rPr>
              <w:t>Total Annual Fixed Cost</w:t>
            </w:r>
          </w:p>
        </w:tc>
        <w:tc>
          <w:tcPr>
            <w:tcW w:w="1788" w:type="pct"/>
            <w:vAlign w:val="center"/>
          </w:tcPr>
          <w:p w:rsidR="000E3508" w:rsidRPr="00876857" w:rsidRDefault="000E3508" w:rsidP="00876857">
            <w:pPr>
              <w:spacing w:line="240" w:lineRule="auto"/>
              <w:jc w:val="center"/>
              <w:rPr>
                <w:b/>
                <w:bCs/>
                <w:color w:val="000000"/>
                <w:szCs w:val="24"/>
              </w:rPr>
            </w:pPr>
            <w:r>
              <w:rPr>
                <w:b/>
                <w:bCs/>
                <w:color w:val="000000"/>
                <w:szCs w:val="24"/>
              </w:rPr>
              <w:t>27.</w:t>
            </w:r>
            <w:r w:rsidR="001F2617">
              <w:rPr>
                <w:b/>
                <w:bCs/>
                <w:color w:val="000000"/>
                <w:szCs w:val="24"/>
              </w:rPr>
              <w:t>64</w:t>
            </w:r>
          </w:p>
        </w:tc>
      </w:tr>
    </w:tbl>
    <w:p w:rsidR="00876857" w:rsidRPr="00876857" w:rsidRDefault="00876857" w:rsidP="00876857">
      <w:pPr>
        <w:widowControl w:val="0"/>
        <w:ind w:left="720" w:hanging="720"/>
        <w:outlineLvl w:val="2"/>
        <w:rPr>
          <w:rFonts w:eastAsia="Times New Roman"/>
          <w:b/>
          <w:bCs/>
          <w:i/>
          <w:szCs w:val="24"/>
          <w:lang w:val="en-GB"/>
        </w:rPr>
      </w:pPr>
    </w:p>
    <w:p w:rsidR="00876857" w:rsidRPr="00876857" w:rsidRDefault="00876857" w:rsidP="00876857">
      <w:pPr>
        <w:pStyle w:val="Heading2"/>
      </w:pPr>
      <w:r w:rsidRPr="00876857">
        <w:rPr>
          <w:rFonts w:eastAsia="Calibri"/>
          <w:b/>
          <w:bCs w:val="0"/>
          <w:iCs w:val="0"/>
          <w:szCs w:val="22"/>
          <w:lang w:val="en-IN"/>
        </w:rPr>
        <w:t>Income Tax</w:t>
      </w:r>
      <w:r w:rsidRPr="00876857">
        <w:rPr>
          <w:rFonts w:eastAsia="Calibri"/>
          <w:bCs w:val="0"/>
          <w:iCs w:val="0"/>
          <w:szCs w:val="22"/>
          <w:lang w:val="en-IN"/>
        </w:rPr>
        <w:t xml:space="preserve">: </w:t>
      </w:r>
      <w:r w:rsidR="00C739F9">
        <w:rPr>
          <w:rFonts w:eastAsia="Calibri"/>
          <w:bCs w:val="0"/>
          <w:iCs w:val="0"/>
          <w:szCs w:val="22"/>
          <w:lang w:val="en-IN"/>
        </w:rPr>
        <w:t xml:space="preserve">OPGC requests the Hon’ble OERC to approve the income tax of Rs. 3.43 Crore </w:t>
      </w:r>
      <w:r w:rsidR="00010E51">
        <w:rPr>
          <w:rFonts w:eastAsia="Calibri"/>
          <w:bCs w:val="0"/>
          <w:iCs w:val="0"/>
          <w:szCs w:val="22"/>
          <w:lang w:val="en-IN"/>
        </w:rPr>
        <w:t>based on</w:t>
      </w:r>
      <w:r w:rsidR="00C739F9">
        <w:rPr>
          <w:rFonts w:eastAsia="Calibri"/>
          <w:bCs w:val="0"/>
          <w:iCs w:val="0"/>
          <w:szCs w:val="22"/>
          <w:lang w:val="en-IN"/>
        </w:rPr>
        <w:t xml:space="preserve"> the Return on Equity</w:t>
      </w:r>
      <w:r w:rsidR="00010E51">
        <w:rPr>
          <w:rFonts w:eastAsia="Calibri"/>
          <w:bCs w:val="0"/>
          <w:iCs w:val="0"/>
          <w:szCs w:val="22"/>
          <w:lang w:val="en-IN"/>
        </w:rPr>
        <w:t>corresponding to the additional capitalisation and income tax rate of 34.94%.</w:t>
      </w:r>
    </w:p>
    <w:p w:rsidR="008532D7" w:rsidRDefault="008532D7">
      <w:pPr>
        <w:spacing w:line="240" w:lineRule="auto"/>
        <w:jc w:val="left"/>
      </w:pPr>
      <w:r>
        <w:br w:type="page"/>
      </w:r>
    </w:p>
    <w:p w:rsidR="003121BD" w:rsidRDefault="003121BD" w:rsidP="003121BD"/>
    <w:p w:rsidR="003121BD" w:rsidRPr="00F972D7" w:rsidRDefault="003121BD" w:rsidP="003121BD">
      <w:pPr>
        <w:pStyle w:val="Heading1"/>
        <w:spacing w:before="0"/>
      </w:pPr>
      <w:bookmarkStart w:id="417" w:name="_Toc530497534"/>
      <w:r>
        <w:t>Summary of Tariff Proposal for FY 2019-20</w:t>
      </w:r>
      <w:bookmarkEnd w:id="417"/>
    </w:p>
    <w:p w:rsidR="003121BD" w:rsidRDefault="003121BD" w:rsidP="003121BD">
      <w:pPr>
        <w:pStyle w:val="ListParagraph"/>
        <w:numPr>
          <w:ilvl w:val="0"/>
          <w:numId w:val="0"/>
        </w:numPr>
        <w:ind w:left="90"/>
        <w:rPr>
          <w:szCs w:val="24"/>
        </w:rPr>
      </w:pPr>
    </w:p>
    <w:p w:rsidR="003121BD" w:rsidRDefault="00CA38AE" w:rsidP="003121BD">
      <w:pPr>
        <w:pStyle w:val="Heading2"/>
      </w:pPr>
      <w:r>
        <w:t>Based on the above, the summary of Tariff Proposal for FY 2019-20 is as shown in the Table below:</w:t>
      </w:r>
    </w:p>
    <w:p w:rsidR="00A73076" w:rsidRPr="00A73076" w:rsidRDefault="00A73076" w:rsidP="00A73076">
      <w:pPr>
        <w:rPr>
          <w:lang w:val="en-GB"/>
        </w:rPr>
      </w:pPr>
    </w:p>
    <w:p w:rsidR="00A73076" w:rsidRPr="00876857" w:rsidRDefault="00A73076" w:rsidP="00A73076">
      <w:pPr>
        <w:keepNext/>
        <w:spacing w:line="240" w:lineRule="auto"/>
        <w:jc w:val="center"/>
        <w:rPr>
          <w:b/>
          <w:bCs/>
          <w:szCs w:val="18"/>
        </w:rPr>
      </w:pPr>
      <w:bookmarkStart w:id="418" w:name="_Toc530497550"/>
      <w:r w:rsidRPr="00876857">
        <w:rPr>
          <w:b/>
          <w:bCs/>
          <w:szCs w:val="18"/>
        </w:rPr>
        <w:t xml:space="preserve">Table </w:t>
      </w:r>
      <w:r w:rsidR="00687F74" w:rsidRPr="00876857">
        <w:rPr>
          <w:b/>
          <w:bCs/>
          <w:szCs w:val="18"/>
        </w:rPr>
        <w:fldChar w:fldCharType="begin"/>
      </w:r>
      <w:r w:rsidRPr="00876857">
        <w:rPr>
          <w:b/>
          <w:bCs/>
          <w:szCs w:val="18"/>
        </w:rPr>
        <w:instrText xml:space="preserve"> SEQ Table \* ARABIC </w:instrText>
      </w:r>
      <w:r w:rsidR="00687F74" w:rsidRPr="00876857">
        <w:rPr>
          <w:b/>
          <w:bCs/>
          <w:szCs w:val="18"/>
        </w:rPr>
        <w:fldChar w:fldCharType="separate"/>
      </w:r>
      <w:r w:rsidR="008A42C7">
        <w:rPr>
          <w:b/>
          <w:bCs/>
          <w:noProof/>
          <w:szCs w:val="18"/>
        </w:rPr>
        <w:t>15</w:t>
      </w:r>
      <w:r w:rsidR="00687F74" w:rsidRPr="00876857">
        <w:rPr>
          <w:b/>
          <w:bCs/>
          <w:szCs w:val="18"/>
        </w:rPr>
        <w:fldChar w:fldCharType="end"/>
      </w:r>
      <w:r w:rsidRPr="00876857">
        <w:rPr>
          <w:b/>
          <w:bCs/>
          <w:szCs w:val="18"/>
        </w:rPr>
        <w:t>:</w:t>
      </w:r>
      <w:r>
        <w:rPr>
          <w:b/>
          <w:bCs/>
          <w:szCs w:val="18"/>
        </w:rPr>
        <w:t xml:space="preserve"> Summary of Tariff Proposal for FY 2019-20</w:t>
      </w:r>
      <w:bookmarkEnd w:id="4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tblPr>
      <w:tblGrid>
        <w:gridCol w:w="3004"/>
        <w:gridCol w:w="1380"/>
        <w:gridCol w:w="1605"/>
        <w:gridCol w:w="1953"/>
        <w:gridCol w:w="1306"/>
      </w:tblGrid>
      <w:tr w:rsidR="000E3508" w:rsidRPr="005F6FF3" w:rsidTr="00D235CD">
        <w:trPr>
          <w:trHeight w:val="113"/>
          <w:tblHeader/>
          <w:jc w:val="center"/>
        </w:trPr>
        <w:tc>
          <w:tcPr>
            <w:tcW w:w="1624" w:type="pct"/>
            <w:shd w:val="clear" w:color="auto" w:fill="FABF8F"/>
            <w:vAlign w:val="center"/>
            <w:hideMark/>
          </w:tcPr>
          <w:p w:rsidR="000E3508" w:rsidRPr="00876857" w:rsidRDefault="000E3508" w:rsidP="003A7A46">
            <w:pPr>
              <w:widowControl w:val="0"/>
              <w:spacing w:line="276" w:lineRule="auto"/>
              <w:ind w:left="112"/>
              <w:jc w:val="left"/>
              <w:rPr>
                <w:rFonts w:eastAsia="Times New Roman"/>
                <w:b/>
                <w:szCs w:val="24"/>
                <w:lang w:val="en-US"/>
              </w:rPr>
            </w:pPr>
            <w:r w:rsidRPr="00876857">
              <w:rPr>
                <w:rFonts w:eastAsia="Times New Roman"/>
                <w:b/>
                <w:szCs w:val="24"/>
                <w:lang w:val="en-US"/>
              </w:rPr>
              <w:t>Particulars</w:t>
            </w:r>
          </w:p>
        </w:tc>
        <w:tc>
          <w:tcPr>
            <w:tcW w:w="746" w:type="pct"/>
            <w:shd w:val="clear" w:color="auto" w:fill="FABF8F"/>
            <w:vAlign w:val="center"/>
          </w:tcPr>
          <w:p w:rsidR="000E3508" w:rsidRPr="005F6FF3" w:rsidRDefault="000E3508" w:rsidP="003A7A46">
            <w:pPr>
              <w:spacing w:line="276" w:lineRule="auto"/>
              <w:jc w:val="center"/>
              <w:rPr>
                <w:b/>
                <w:bCs/>
                <w:szCs w:val="24"/>
              </w:rPr>
            </w:pPr>
            <w:r>
              <w:rPr>
                <w:b/>
                <w:bCs/>
                <w:szCs w:val="24"/>
              </w:rPr>
              <w:t>Units</w:t>
            </w:r>
          </w:p>
        </w:tc>
        <w:tc>
          <w:tcPr>
            <w:tcW w:w="868" w:type="pct"/>
            <w:shd w:val="clear" w:color="auto" w:fill="FABF8F"/>
            <w:vAlign w:val="center"/>
          </w:tcPr>
          <w:p w:rsidR="000E3508" w:rsidRPr="005F6FF3" w:rsidRDefault="000E3508" w:rsidP="003A7A46">
            <w:pPr>
              <w:spacing w:line="276" w:lineRule="auto"/>
              <w:jc w:val="center"/>
              <w:rPr>
                <w:b/>
                <w:bCs/>
                <w:szCs w:val="24"/>
              </w:rPr>
            </w:pPr>
            <w:r w:rsidRPr="005F6FF3">
              <w:rPr>
                <w:b/>
                <w:bCs/>
                <w:szCs w:val="24"/>
              </w:rPr>
              <w:t>Corresponding to original project cost</w:t>
            </w:r>
          </w:p>
        </w:tc>
        <w:tc>
          <w:tcPr>
            <w:tcW w:w="1056" w:type="pct"/>
            <w:shd w:val="clear" w:color="auto" w:fill="FABF8F"/>
            <w:vAlign w:val="center"/>
          </w:tcPr>
          <w:p w:rsidR="000E3508" w:rsidRPr="005F6FF3" w:rsidRDefault="000E3508" w:rsidP="003A7A46">
            <w:pPr>
              <w:spacing w:line="276" w:lineRule="auto"/>
              <w:jc w:val="center"/>
              <w:rPr>
                <w:b/>
                <w:bCs/>
                <w:szCs w:val="24"/>
              </w:rPr>
            </w:pPr>
            <w:r w:rsidRPr="005F6FF3">
              <w:rPr>
                <w:b/>
                <w:bCs/>
                <w:szCs w:val="24"/>
              </w:rPr>
              <w:t>Corresponding to Additional Capitalisation</w:t>
            </w:r>
          </w:p>
        </w:tc>
        <w:tc>
          <w:tcPr>
            <w:tcW w:w="706" w:type="pct"/>
            <w:shd w:val="clear" w:color="auto" w:fill="FABF8F"/>
            <w:vAlign w:val="center"/>
          </w:tcPr>
          <w:p w:rsidR="000E3508" w:rsidRPr="005F6FF3" w:rsidRDefault="000E3508" w:rsidP="003A7A46">
            <w:pPr>
              <w:spacing w:line="276" w:lineRule="auto"/>
              <w:jc w:val="center"/>
              <w:rPr>
                <w:b/>
                <w:bCs/>
                <w:szCs w:val="24"/>
              </w:rPr>
            </w:pPr>
            <w:r w:rsidRPr="005F6FF3">
              <w:rPr>
                <w:b/>
                <w:bCs/>
                <w:szCs w:val="24"/>
              </w:rPr>
              <w:t>Total</w:t>
            </w:r>
          </w:p>
        </w:tc>
      </w:tr>
      <w:tr w:rsidR="00804048" w:rsidRPr="005F6FF3" w:rsidTr="00D235CD">
        <w:trPr>
          <w:trHeight w:val="113"/>
          <w:jc w:val="center"/>
        </w:trPr>
        <w:tc>
          <w:tcPr>
            <w:tcW w:w="1624" w:type="pct"/>
            <w:shd w:val="clear" w:color="auto" w:fill="auto"/>
            <w:vAlign w:val="center"/>
          </w:tcPr>
          <w:p w:rsidR="00804048" w:rsidRPr="00876857" w:rsidRDefault="00804048" w:rsidP="00804048">
            <w:pPr>
              <w:widowControl w:val="0"/>
              <w:spacing w:line="276" w:lineRule="auto"/>
              <w:ind w:left="112"/>
              <w:jc w:val="left"/>
              <w:rPr>
                <w:rFonts w:eastAsia="Times New Roman"/>
                <w:szCs w:val="24"/>
                <w:lang w:val="en-US"/>
              </w:rPr>
            </w:pPr>
            <w:r w:rsidRPr="00876857">
              <w:rPr>
                <w:rFonts w:eastAsia="Times New Roman"/>
                <w:szCs w:val="24"/>
                <w:lang w:val="en-US"/>
              </w:rPr>
              <w:t>Depreciation</w:t>
            </w:r>
          </w:p>
        </w:tc>
        <w:tc>
          <w:tcPr>
            <w:tcW w:w="746" w:type="pct"/>
            <w:vAlign w:val="center"/>
          </w:tcPr>
          <w:p w:rsidR="00804048" w:rsidRDefault="00804048" w:rsidP="00804048">
            <w:pPr>
              <w:spacing w:line="276" w:lineRule="auto"/>
              <w:jc w:val="center"/>
              <w:rPr>
                <w:color w:val="000000"/>
                <w:szCs w:val="24"/>
              </w:rPr>
            </w:pPr>
            <w:r>
              <w:rPr>
                <w:color w:val="000000"/>
                <w:szCs w:val="24"/>
              </w:rPr>
              <w:t>Rs. Crore</w:t>
            </w:r>
          </w:p>
        </w:tc>
        <w:tc>
          <w:tcPr>
            <w:tcW w:w="868" w:type="pct"/>
            <w:vAlign w:val="center"/>
          </w:tcPr>
          <w:p w:rsidR="00804048" w:rsidRPr="00F77F74" w:rsidRDefault="00804048" w:rsidP="00804048">
            <w:pPr>
              <w:spacing w:line="276" w:lineRule="auto"/>
              <w:jc w:val="center"/>
              <w:rPr>
                <w:color w:val="000000"/>
                <w:szCs w:val="24"/>
              </w:rPr>
            </w:pPr>
            <w:r>
              <w:rPr>
                <w:rFonts w:ascii="Book Antiqua" w:hAnsi="Book Antiqua"/>
                <w:color w:val="000000"/>
                <w:sz w:val="22"/>
              </w:rPr>
              <w:t>-</w:t>
            </w:r>
          </w:p>
        </w:tc>
        <w:tc>
          <w:tcPr>
            <w:tcW w:w="1056" w:type="pct"/>
            <w:vAlign w:val="center"/>
          </w:tcPr>
          <w:p w:rsidR="00804048" w:rsidRPr="00876857" w:rsidRDefault="00804048" w:rsidP="00804048">
            <w:pPr>
              <w:spacing w:line="276" w:lineRule="auto"/>
              <w:jc w:val="center"/>
              <w:rPr>
                <w:color w:val="000000"/>
                <w:szCs w:val="24"/>
              </w:rPr>
            </w:pPr>
            <w:r>
              <w:rPr>
                <w:rFonts w:ascii="Book Antiqua" w:hAnsi="Book Antiqua"/>
                <w:color w:val="000000"/>
                <w:sz w:val="22"/>
              </w:rPr>
              <w:t>14.24</w:t>
            </w:r>
          </w:p>
        </w:tc>
        <w:tc>
          <w:tcPr>
            <w:tcW w:w="706" w:type="pct"/>
            <w:vAlign w:val="center"/>
          </w:tcPr>
          <w:p w:rsidR="00804048" w:rsidRPr="005F6FF3" w:rsidRDefault="00804048" w:rsidP="00804048">
            <w:pPr>
              <w:spacing w:line="276" w:lineRule="auto"/>
              <w:jc w:val="center"/>
              <w:rPr>
                <w:color w:val="000000"/>
                <w:szCs w:val="24"/>
              </w:rPr>
            </w:pPr>
            <w:r>
              <w:rPr>
                <w:rFonts w:ascii="Book Antiqua" w:hAnsi="Book Antiqua"/>
                <w:color w:val="000000"/>
                <w:sz w:val="22"/>
              </w:rPr>
              <w:t>14.24</w:t>
            </w:r>
          </w:p>
        </w:tc>
      </w:tr>
      <w:tr w:rsidR="00804048" w:rsidRPr="005F6FF3" w:rsidTr="00D235CD">
        <w:trPr>
          <w:trHeight w:val="113"/>
          <w:jc w:val="center"/>
        </w:trPr>
        <w:tc>
          <w:tcPr>
            <w:tcW w:w="1624" w:type="pct"/>
            <w:shd w:val="clear" w:color="auto" w:fill="auto"/>
            <w:vAlign w:val="center"/>
          </w:tcPr>
          <w:p w:rsidR="00804048" w:rsidRPr="00876857" w:rsidRDefault="00804048" w:rsidP="00804048">
            <w:pPr>
              <w:widowControl w:val="0"/>
              <w:spacing w:line="276" w:lineRule="auto"/>
              <w:ind w:left="112"/>
              <w:jc w:val="left"/>
              <w:rPr>
                <w:rFonts w:eastAsia="Times New Roman"/>
                <w:szCs w:val="24"/>
                <w:lang w:val="en-US"/>
              </w:rPr>
            </w:pPr>
            <w:r w:rsidRPr="00876857">
              <w:rPr>
                <w:rFonts w:eastAsia="Times New Roman"/>
                <w:szCs w:val="24"/>
                <w:lang w:val="en-US"/>
              </w:rPr>
              <w:t>Return on Equity</w:t>
            </w:r>
          </w:p>
        </w:tc>
        <w:tc>
          <w:tcPr>
            <w:tcW w:w="746" w:type="pct"/>
            <w:vAlign w:val="center"/>
          </w:tcPr>
          <w:p w:rsidR="00804048" w:rsidRPr="00F77F74" w:rsidRDefault="00804048" w:rsidP="00804048">
            <w:pPr>
              <w:spacing w:line="276" w:lineRule="auto"/>
              <w:jc w:val="center"/>
              <w:rPr>
                <w:color w:val="000000"/>
                <w:szCs w:val="24"/>
              </w:rPr>
            </w:pPr>
            <w:r>
              <w:rPr>
                <w:color w:val="000000"/>
                <w:szCs w:val="24"/>
              </w:rPr>
              <w:t>Rs. Crore</w:t>
            </w:r>
          </w:p>
        </w:tc>
        <w:tc>
          <w:tcPr>
            <w:tcW w:w="868" w:type="pct"/>
            <w:vAlign w:val="center"/>
          </w:tcPr>
          <w:p w:rsidR="00804048" w:rsidRPr="00F77F74" w:rsidRDefault="00804048" w:rsidP="00804048">
            <w:pPr>
              <w:spacing w:line="276" w:lineRule="auto"/>
              <w:jc w:val="center"/>
              <w:rPr>
                <w:color w:val="000000"/>
                <w:szCs w:val="24"/>
              </w:rPr>
            </w:pPr>
            <w:r>
              <w:rPr>
                <w:rFonts w:ascii="Book Antiqua" w:hAnsi="Book Antiqua"/>
                <w:color w:val="000000"/>
                <w:sz w:val="22"/>
              </w:rPr>
              <w:t>72.00</w:t>
            </w:r>
          </w:p>
        </w:tc>
        <w:tc>
          <w:tcPr>
            <w:tcW w:w="1056" w:type="pct"/>
            <w:vAlign w:val="center"/>
          </w:tcPr>
          <w:p w:rsidR="00804048" w:rsidRPr="00876857" w:rsidRDefault="00804048" w:rsidP="00804048">
            <w:pPr>
              <w:spacing w:line="276" w:lineRule="auto"/>
              <w:jc w:val="center"/>
              <w:rPr>
                <w:color w:val="000000"/>
                <w:szCs w:val="24"/>
              </w:rPr>
            </w:pPr>
            <w:r>
              <w:rPr>
                <w:rFonts w:ascii="Book Antiqua" w:hAnsi="Book Antiqua"/>
                <w:color w:val="000000"/>
                <w:sz w:val="22"/>
              </w:rPr>
              <w:t>6.38</w:t>
            </w:r>
          </w:p>
        </w:tc>
        <w:tc>
          <w:tcPr>
            <w:tcW w:w="706" w:type="pct"/>
            <w:vAlign w:val="center"/>
          </w:tcPr>
          <w:p w:rsidR="00804048" w:rsidRPr="005F6FF3" w:rsidRDefault="00804048" w:rsidP="00804048">
            <w:pPr>
              <w:spacing w:line="276" w:lineRule="auto"/>
              <w:jc w:val="center"/>
              <w:rPr>
                <w:color w:val="000000"/>
                <w:szCs w:val="24"/>
              </w:rPr>
            </w:pPr>
            <w:r>
              <w:rPr>
                <w:rFonts w:ascii="Book Antiqua" w:hAnsi="Book Antiqua"/>
                <w:color w:val="000000"/>
                <w:sz w:val="22"/>
              </w:rPr>
              <w:t>78.38</w:t>
            </w:r>
          </w:p>
        </w:tc>
      </w:tr>
      <w:tr w:rsidR="00804048" w:rsidRPr="005F6FF3" w:rsidTr="00D235CD">
        <w:trPr>
          <w:trHeight w:val="113"/>
          <w:jc w:val="center"/>
        </w:trPr>
        <w:tc>
          <w:tcPr>
            <w:tcW w:w="1624" w:type="pct"/>
            <w:shd w:val="clear" w:color="auto" w:fill="auto"/>
            <w:vAlign w:val="center"/>
          </w:tcPr>
          <w:p w:rsidR="00804048" w:rsidRPr="00876857" w:rsidRDefault="00804048" w:rsidP="00804048">
            <w:pPr>
              <w:widowControl w:val="0"/>
              <w:spacing w:line="276" w:lineRule="auto"/>
              <w:ind w:left="112"/>
              <w:jc w:val="left"/>
              <w:rPr>
                <w:rFonts w:eastAsia="Times New Roman"/>
                <w:szCs w:val="24"/>
                <w:lang w:val="en-US"/>
              </w:rPr>
            </w:pPr>
            <w:r w:rsidRPr="00876857">
              <w:rPr>
                <w:rFonts w:eastAsia="Times New Roman"/>
                <w:szCs w:val="24"/>
                <w:lang w:val="en-US"/>
              </w:rPr>
              <w:t>Interest on loan</w:t>
            </w:r>
          </w:p>
        </w:tc>
        <w:tc>
          <w:tcPr>
            <w:tcW w:w="746" w:type="pct"/>
            <w:vAlign w:val="center"/>
          </w:tcPr>
          <w:p w:rsidR="00804048" w:rsidRDefault="00804048" w:rsidP="00804048">
            <w:pPr>
              <w:spacing w:line="276" w:lineRule="auto"/>
              <w:jc w:val="center"/>
              <w:rPr>
                <w:color w:val="000000"/>
                <w:szCs w:val="24"/>
              </w:rPr>
            </w:pPr>
            <w:r>
              <w:rPr>
                <w:color w:val="000000"/>
                <w:szCs w:val="24"/>
              </w:rPr>
              <w:t>Rs. Crore</w:t>
            </w:r>
          </w:p>
        </w:tc>
        <w:tc>
          <w:tcPr>
            <w:tcW w:w="868" w:type="pct"/>
            <w:vAlign w:val="center"/>
          </w:tcPr>
          <w:p w:rsidR="00804048" w:rsidRPr="00F77F74" w:rsidRDefault="00804048" w:rsidP="00804048">
            <w:pPr>
              <w:spacing w:line="276" w:lineRule="auto"/>
              <w:jc w:val="center"/>
              <w:rPr>
                <w:color w:val="000000"/>
                <w:szCs w:val="24"/>
              </w:rPr>
            </w:pPr>
            <w:r>
              <w:rPr>
                <w:rFonts w:ascii="Book Antiqua" w:hAnsi="Book Antiqua"/>
                <w:color w:val="000000"/>
                <w:sz w:val="22"/>
              </w:rPr>
              <w:t>-</w:t>
            </w:r>
          </w:p>
        </w:tc>
        <w:tc>
          <w:tcPr>
            <w:tcW w:w="1056" w:type="pct"/>
            <w:vAlign w:val="center"/>
          </w:tcPr>
          <w:p w:rsidR="00804048" w:rsidRPr="00876857" w:rsidRDefault="00804048" w:rsidP="00804048">
            <w:pPr>
              <w:spacing w:line="276" w:lineRule="auto"/>
              <w:jc w:val="center"/>
              <w:rPr>
                <w:color w:val="000000"/>
                <w:szCs w:val="24"/>
              </w:rPr>
            </w:pPr>
            <w:r>
              <w:rPr>
                <w:rFonts w:ascii="Book Antiqua" w:hAnsi="Book Antiqua"/>
                <w:color w:val="000000"/>
                <w:sz w:val="22"/>
              </w:rPr>
              <w:t>6.49</w:t>
            </w:r>
          </w:p>
        </w:tc>
        <w:tc>
          <w:tcPr>
            <w:tcW w:w="706" w:type="pct"/>
            <w:vAlign w:val="center"/>
          </w:tcPr>
          <w:p w:rsidR="00804048" w:rsidRPr="005F6FF3" w:rsidRDefault="00804048" w:rsidP="00804048">
            <w:pPr>
              <w:spacing w:line="276" w:lineRule="auto"/>
              <w:jc w:val="center"/>
              <w:rPr>
                <w:color w:val="000000"/>
                <w:szCs w:val="24"/>
              </w:rPr>
            </w:pPr>
            <w:r>
              <w:rPr>
                <w:rFonts w:ascii="Book Antiqua" w:hAnsi="Book Antiqua"/>
                <w:color w:val="000000"/>
                <w:sz w:val="22"/>
              </w:rPr>
              <w:t>6.49</w:t>
            </w:r>
          </w:p>
        </w:tc>
      </w:tr>
      <w:tr w:rsidR="00804048" w:rsidRPr="005F6FF3" w:rsidTr="00D235CD">
        <w:trPr>
          <w:trHeight w:val="113"/>
          <w:jc w:val="center"/>
        </w:trPr>
        <w:tc>
          <w:tcPr>
            <w:tcW w:w="1624" w:type="pct"/>
            <w:shd w:val="clear" w:color="auto" w:fill="auto"/>
            <w:vAlign w:val="center"/>
          </w:tcPr>
          <w:p w:rsidR="00804048" w:rsidRPr="00876857" w:rsidRDefault="00804048" w:rsidP="00804048">
            <w:pPr>
              <w:widowControl w:val="0"/>
              <w:spacing w:line="276" w:lineRule="auto"/>
              <w:ind w:left="112"/>
              <w:jc w:val="left"/>
              <w:rPr>
                <w:rFonts w:eastAsia="Times New Roman"/>
                <w:szCs w:val="24"/>
                <w:lang w:val="en-US"/>
              </w:rPr>
            </w:pPr>
            <w:r>
              <w:rPr>
                <w:rFonts w:eastAsia="Times New Roman"/>
                <w:szCs w:val="24"/>
                <w:lang w:val="en-US"/>
              </w:rPr>
              <w:t>O&amp;M expenses</w:t>
            </w:r>
          </w:p>
        </w:tc>
        <w:tc>
          <w:tcPr>
            <w:tcW w:w="746" w:type="pct"/>
            <w:vAlign w:val="center"/>
          </w:tcPr>
          <w:p w:rsidR="00804048" w:rsidRPr="00F77F74" w:rsidRDefault="00804048" w:rsidP="00804048">
            <w:pPr>
              <w:spacing w:line="276" w:lineRule="auto"/>
              <w:jc w:val="center"/>
              <w:rPr>
                <w:color w:val="000000"/>
                <w:szCs w:val="24"/>
              </w:rPr>
            </w:pPr>
            <w:r>
              <w:rPr>
                <w:color w:val="000000"/>
                <w:szCs w:val="24"/>
              </w:rPr>
              <w:t>Rs. Crore</w:t>
            </w:r>
          </w:p>
        </w:tc>
        <w:tc>
          <w:tcPr>
            <w:tcW w:w="868" w:type="pct"/>
            <w:vAlign w:val="center"/>
          </w:tcPr>
          <w:p w:rsidR="00804048" w:rsidRPr="00F77F74" w:rsidRDefault="00804048" w:rsidP="00804048">
            <w:pPr>
              <w:spacing w:line="276" w:lineRule="auto"/>
              <w:jc w:val="center"/>
              <w:rPr>
                <w:color w:val="000000"/>
                <w:szCs w:val="24"/>
              </w:rPr>
            </w:pPr>
            <w:r>
              <w:rPr>
                <w:rFonts w:ascii="Book Antiqua" w:hAnsi="Book Antiqua"/>
                <w:color w:val="000000"/>
                <w:sz w:val="22"/>
              </w:rPr>
              <w:t>151.19</w:t>
            </w:r>
          </w:p>
        </w:tc>
        <w:tc>
          <w:tcPr>
            <w:tcW w:w="1056" w:type="pct"/>
            <w:vAlign w:val="center"/>
          </w:tcPr>
          <w:p w:rsidR="00804048" w:rsidRPr="005F6FF3" w:rsidRDefault="00804048" w:rsidP="00804048">
            <w:pPr>
              <w:spacing w:line="276" w:lineRule="auto"/>
              <w:jc w:val="center"/>
              <w:rPr>
                <w:color w:val="000000"/>
                <w:szCs w:val="24"/>
              </w:rPr>
            </w:pPr>
            <w:r>
              <w:rPr>
                <w:rFonts w:ascii="Book Antiqua" w:hAnsi="Book Antiqua"/>
                <w:color w:val="000000"/>
                <w:sz w:val="22"/>
              </w:rPr>
              <w:t>-</w:t>
            </w:r>
          </w:p>
        </w:tc>
        <w:tc>
          <w:tcPr>
            <w:tcW w:w="706" w:type="pct"/>
            <w:vAlign w:val="center"/>
          </w:tcPr>
          <w:p w:rsidR="00804048" w:rsidRPr="005F6FF3" w:rsidRDefault="00804048" w:rsidP="00804048">
            <w:pPr>
              <w:spacing w:line="276" w:lineRule="auto"/>
              <w:jc w:val="center"/>
              <w:rPr>
                <w:color w:val="000000"/>
                <w:szCs w:val="24"/>
              </w:rPr>
            </w:pPr>
            <w:r>
              <w:rPr>
                <w:rFonts w:ascii="Book Antiqua" w:hAnsi="Book Antiqua"/>
                <w:color w:val="000000"/>
                <w:sz w:val="22"/>
              </w:rPr>
              <w:t>151.19</w:t>
            </w:r>
          </w:p>
        </w:tc>
      </w:tr>
      <w:tr w:rsidR="00804048" w:rsidRPr="005F6FF3" w:rsidTr="00D235CD">
        <w:trPr>
          <w:trHeight w:val="113"/>
          <w:jc w:val="center"/>
        </w:trPr>
        <w:tc>
          <w:tcPr>
            <w:tcW w:w="1624" w:type="pct"/>
            <w:shd w:val="clear" w:color="auto" w:fill="auto"/>
            <w:vAlign w:val="center"/>
          </w:tcPr>
          <w:p w:rsidR="00804048" w:rsidRPr="00876857" w:rsidRDefault="00804048" w:rsidP="00804048">
            <w:pPr>
              <w:widowControl w:val="0"/>
              <w:spacing w:line="276" w:lineRule="auto"/>
              <w:ind w:left="112"/>
              <w:jc w:val="left"/>
              <w:rPr>
                <w:rFonts w:eastAsia="Times New Roman"/>
                <w:szCs w:val="24"/>
                <w:lang w:val="en-US"/>
              </w:rPr>
            </w:pPr>
            <w:r w:rsidRPr="00876857">
              <w:rPr>
                <w:rFonts w:eastAsia="Times New Roman"/>
                <w:szCs w:val="24"/>
                <w:lang w:val="en-US"/>
              </w:rPr>
              <w:t>Interest on working capital</w:t>
            </w:r>
          </w:p>
        </w:tc>
        <w:tc>
          <w:tcPr>
            <w:tcW w:w="746" w:type="pct"/>
            <w:vAlign w:val="center"/>
          </w:tcPr>
          <w:p w:rsidR="00804048" w:rsidRPr="00F77F74" w:rsidRDefault="00804048" w:rsidP="00804048">
            <w:pPr>
              <w:spacing w:line="276" w:lineRule="auto"/>
              <w:jc w:val="center"/>
              <w:rPr>
                <w:color w:val="000000"/>
                <w:szCs w:val="24"/>
              </w:rPr>
            </w:pPr>
            <w:r>
              <w:rPr>
                <w:color w:val="000000"/>
                <w:szCs w:val="24"/>
              </w:rPr>
              <w:t>Rs. Crore</w:t>
            </w:r>
          </w:p>
        </w:tc>
        <w:tc>
          <w:tcPr>
            <w:tcW w:w="868" w:type="pct"/>
            <w:vAlign w:val="center"/>
          </w:tcPr>
          <w:p w:rsidR="00804048" w:rsidRPr="00F77F74" w:rsidRDefault="00804048" w:rsidP="00804048">
            <w:pPr>
              <w:spacing w:line="276" w:lineRule="auto"/>
              <w:jc w:val="center"/>
              <w:rPr>
                <w:color w:val="000000"/>
                <w:szCs w:val="24"/>
              </w:rPr>
            </w:pPr>
            <w:r>
              <w:rPr>
                <w:rFonts w:ascii="Book Antiqua" w:hAnsi="Book Antiqua"/>
                <w:color w:val="000000"/>
                <w:sz w:val="22"/>
              </w:rPr>
              <w:t>18.</w:t>
            </w:r>
            <w:r w:rsidR="00481EAC">
              <w:rPr>
                <w:rFonts w:ascii="Book Antiqua" w:hAnsi="Book Antiqua"/>
                <w:color w:val="000000"/>
                <w:sz w:val="22"/>
              </w:rPr>
              <w:t>74</w:t>
            </w:r>
          </w:p>
        </w:tc>
        <w:tc>
          <w:tcPr>
            <w:tcW w:w="1056" w:type="pct"/>
            <w:vAlign w:val="center"/>
          </w:tcPr>
          <w:p w:rsidR="00804048" w:rsidRPr="00876857" w:rsidRDefault="00804048" w:rsidP="00804048">
            <w:pPr>
              <w:spacing w:line="276" w:lineRule="auto"/>
              <w:jc w:val="center"/>
              <w:rPr>
                <w:color w:val="000000"/>
                <w:szCs w:val="24"/>
              </w:rPr>
            </w:pPr>
            <w:r>
              <w:rPr>
                <w:rFonts w:ascii="Book Antiqua" w:hAnsi="Book Antiqua"/>
                <w:color w:val="000000"/>
                <w:sz w:val="22"/>
              </w:rPr>
              <w:t>0.53</w:t>
            </w:r>
          </w:p>
        </w:tc>
        <w:tc>
          <w:tcPr>
            <w:tcW w:w="706" w:type="pct"/>
            <w:vAlign w:val="center"/>
          </w:tcPr>
          <w:p w:rsidR="00804048" w:rsidRPr="005F6FF3" w:rsidRDefault="00804048" w:rsidP="00804048">
            <w:pPr>
              <w:spacing w:line="276" w:lineRule="auto"/>
              <w:jc w:val="center"/>
              <w:rPr>
                <w:color w:val="000000"/>
                <w:szCs w:val="24"/>
              </w:rPr>
            </w:pPr>
            <w:r>
              <w:rPr>
                <w:rFonts w:ascii="Book Antiqua" w:hAnsi="Book Antiqua"/>
                <w:color w:val="000000"/>
                <w:sz w:val="22"/>
              </w:rPr>
              <w:t>19.</w:t>
            </w:r>
            <w:r w:rsidR="00481EAC">
              <w:rPr>
                <w:rFonts w:ascii="Book Antiqua" w:hAnsi="Book Antiqua"/>
                <w:color w:val="000000"/>
                <w:sz w:val="22"/>
              </w:rPr>
              <w:t>27</w:t>
            </w:r>
          </w:p>
        </w:tc>
      </w:tr>
      <w:tr w:rsidR="00804048" w:rsidRPr="005F6FF3" w:rsidTr="00D235CD">
        <w:trPr>
          <w:trHeight w:val="113"/>
          <w:jc w:val="center"/>
        </w:trPr>
        <w:tc>
          <w:tcPr>
            <w:tcW w:w="1624" w:type="pct"/>
            <w:shd w:val="clear" w:color="auto" w:fill="auto"/>
            <w:vAlign w:val="center"/>
          </w:tcPr>
          <w:p w:rsidR="00804048" w:rsidRPr="00876857" w:rsidRDefault="00804048" w:rsidP="00804048">
            <w:pPr>
              <w:widowControl w:val="0"/>
              <w:spacing w:line="276" w:lineRule="auto"/>
              <w:ind w:left="112"/>
              <w:jc w:val="left"/>
              <w:rPr>
                <w:rFonts w:eastAsia="Times New Roman"/>
                <w:b/>
                <w:szCs w:val="24"/>
                <w:lang w:val="en-US"/>
              </w:rPr>
            </w:pPr>
            <w:r w:rsidRPr="00876857">
              <w:rPr>
                <w:rFonts w:eastAsia="Times New Roman"/>
                <w:b/>
                <w:szCs w:val="24"/>
                <w:lang w:val="en-US"/>
              </w:rPr>
              <w:t>Total Annual Fixed Cost</w:t>
            </w:r>
          </w:p>
        </w:tc>
        <w:tc>
          <w:tcPr>
            <w:tcW w:w="746" w:type="pct"/>
            <w:vAlign w:val="center"/>
          </w:tcPr>
          <w:p w:rsidR="00804048" w:rsidRPr="00F77F74" w:rsidRDefault="00804048" w:rsidP="00804048">
            <w:pPr>
              <w:spacing w:line="276" w:lineRule="auto"/>
              <w:jc w:val="center"/>
              <w:rPr>
                <w:b/>
                <w:color w:val="000000"/>
                <w:szCs w:val="24"/>
              </w:rPr>
            </w:pPr>
            <w:r>
              <w:rPr>
                <w:color w:val="000000"/>
                <w:szCs w:val="24"/>
              </w:rPr>
              <w:t>Rs. Crore</w:t>
            </w:r>
          </w:p>
        </w:tc>
        <w:tc>
          <w:tcPr>
            <w:tcW w:w="868" w:type="pct"/>
            <w:vAlign w:val="center"/>
          </w:tcPr>
          <w:p w:rsidR="00804048" w:rsidRPr="00F77F74" w:rsidRDefault="00804048" w:rsidP="00804048">
            <w:pPr>
              <w:spacing w:line="276" w:lineRule="auto"/>
              <w:jc w:val="center"/>
              <w:rPr>
                <w:b/>
                <w:color w:val="000000"/>
                <w:szCs w:val="24"/>
              </w:rPr>
            </w:pPr>
            <w:r>
              <w:rPr>
                <w:rFonts w:ascii="Book Antiqua" w:hAnsi="Book Antiqua"/>
                <w:b/>
                <w:bCs/>
                <w:color w:val="000000"/>
                <w:sz w:val="22"/>
              </w:rPr>
              <w:t>24</w:t>
            </w:r>
            <w:r w:rsidR="00481EAC">
              <w:rPr>
                <w:rFonts w:ascii="Book Antiqua" w:hAnsi="Book Antiqua"/>
                <w:b/>
                <w:bCs/>
                <w:color w:val="000000"/>
                <w:sz w:val="22"/>
              </w:rPr>
              <w:t>1</w:t>
            </w:r>
            <w:r>
              <w:rPr>
                <w:rFonts w:ascii="Book Antiqua" w:hAnsi="Book Antiqua"/>
                <w:b/>
                <w:bCs/>
                <w:color w:val="000000"/>
                <w:sz w:val="22"/>
              </w:rPr>
              <w:t>.</w:t>
            </w:r>
            <w:r w:rsidR="00481EAC">
              <w:rPr>
                <w:rFonts w:ascii="Book Antiqua" w:hAnsi="Book Antiqua"/>
                <w:b/>
                <w:bCs/>
                <w:color w:val="000000"/>
                <w:sz w:val="22"/>
              </w:rPr>
              <w:t>93</w:t>
            </w:r>
          </w:p>
        </w:tc>
        <w:tc>
          <w:tcPr>
            <w:tcW w:w="1056" w:type="pct"/>
            <w:vAlign w:val="center"/>
          </w:tcPr>
          <w:p w:rsidR="00804048" w:rsidRPr="00876857" w:rsidRDefault="00804048" w:rsidP="00804048">
            <w:pPr>
              <w:spacing w:line="276" w:lineRule="auto"/>
              <w:jc w:val="center"/>
              <w:rPr>
                <w:b/>
                <w:bCs/>
                <w:color w:val="000000"/>
                <w:szCs w:val="24"/>
              </w:rPr>
            </w:pPr>
            <w:r>
              <w:rPr>
                <w:rFonts w:ascii="Book Antiqua" w:hAnsi="Book Antiqua"/>
                <w:b/>
                <w:bCs/>
                <w:color w:val="000000"/>
                <w:sz w:val="22"/>
              </w:rPr>
              <w:t>27.64</w:t>
            </w:r>
          </w:p>
        </w:tc>
        <w:tc>
          <w:tcPr>
            <w:tcW w:w="706" w:type="pct"/>
            <w:vAlign w:val="center"/>
          </w:tcPr>
          <w:p w:rsidR="00804048" w:rsidRPr="009B0449" w:rsidRDefault="00804048" w:rsidP="00804048">
            <w:pPr>
              <w:spacing w:line="276" w:lineRule="auto"/>
              <w:jc w:val="center"/>
              <w:rPr>
                <w:b/>
                <w:color w:val="000000"/>
                <w:szCs w:val="24"/>
              </w:rPr>
            </w:pPr>
            <w:r>
              <w:rPr>
                <w:rFonts w:ascii="Book Antiqua" w:hAnsi="Book Antiqua"/>
                <w:b/>
                <w:bCs/>
                <w:color w:val="000000"/>
                <w:sz w:val="22"/>
              </w:rPr>
              <w:t>269.</w:t>
            </w:r>
            <w:r w:rsidR="00481EAC">
              <w:rPr>
                <w:rFonts w:ascii="Book Antiqua" w:hAnsi="Book Antiqua"/>
                <w:b/>
                <w:bCs/>
                <w:color w:val="000000"/>
                <w:sz w:val="22"/>
              </w:rPr>
              <w:t>57</w:t>
            </w:r>
          </w:p>
        </w:tc>
      </w:tr>
      <w:tr w:rsidR="00D235CD" w:rsidRPr="005F6FF3" w:rsidTr="00D235CD">
        <w:trPr>
          <w:trHeight w:val="113"/>
          <w:jc w:val="center"/>
        </w:trPr>
        <w:tc>
          <w:tcPr>
            <w:tcW w:w="1624" w:type="pct"/>
            <w:shd w:val="clear" w:color="auto" w:fill="auto"/>
            <w:vAlign w:val="center"/>
          </w:tcPr>
          <w:p w:rsidR="00D235CD" w:rsidRPr="00876857" w:rsidRDefault="00D235CD" w:rsidP="00D235CD">
            <w:pPr>
              <w:widowControl w:val="0"/>
              <w:spacing w:line="276" w:lineRule="auto"/>
              <w:ind w:left="112"/>
              <w:jc w:val="left"/>
              <w:rPr>
                <w:rFonts w:eastAsia="Times New Roman"/>
                <w:b/>
                <w:szCs w:val="24"/>
                <w:lang w:val="en-US"/>
              </w:rPr>
            </w:pPr>
            <w:r>
              <w:rPr>
                <w:rFonts w:eastAsia="Times New Roman"/>
                <w:b/>
                <w:szCs w:val="24"/>
                <w:lang w:val="en-US"/>
              </w:rPr>
              <w:t>Variable Charges per kWh</w:t>
            </w:r>
          </w:p>
        </w:tc>
        <w:tc>
          <w:tcPr>
            <w:tcW w:w="746" w:type="pct"/>
            <w:vAlign w:val="center"/>
          </w:tcPr>
          <w:p w:rsidR="00D235CD" w:rsidRDefault="00D235CD" w:rsidP="00D235CD">
            <w:pPr>
              <w:spacing w:line="276" w:lineRule="auto"/>
              <w:jc w:val="center"/>
              <w:rPr>
                <w:color w:val="000000"/>
                <w:szCs w:val="24"/>
              </w:rPr>
            </w:pPr>
            <w:r>
              <w:rPr>
                <w:color w:val="000000"/>
                <w:szCs w:val="24"/>
              </w:rPr>
              <w:t>Paisa/kWh</w:t>
            </w:r>
          </w:p>
        </w:tc>
        <w:tc>
          <w:tcPr>
            <w:tcW w:w="868" w:type="pct"/>
            <w:vAlign w:val="center"/>
          </w:tcPr>
          <w:p w:rsidR="00D235CD" w:rsidRPr="00F77F74" w:rsidRDefault="00804048" w:rsidP="00D235CD">
            <w:pPr>
              <w:spacing w:line="276" w:lineRule="auto"/>
              <w:jc w:val="center"/>
              <w:rPr>
                <w:b/>
                <w:color w:val="000000"/>
                <w:szCs w:val="24"/>
              </w:rPr>
            </w:pPr>
            <w:r>
              <w:rPr>
                <w:b/>
                <w:color w:val="000000"/>
                <w:szCs w:val="24"/>
              </w:rPr>
              <w:t>16</w:t>
            </w:r>
            <w:r w:rsidR="00481EAC">
              <w:rPr>
                <w:b/>
                <w:color w:val="000000"/>
                <w:szCs w:val="24"/>
              </w:rPr>
              <w:t>2</w:t>
            </w:r>
            <w:r>
              <w:rPr>
                <w:b/>
                <w:color w:val="000000"/>
                <w:szCs w:val="24"/>
              </w:rPr>
              <w:t>.</w:t>
            </w:r>
            <w:r w:rsidR="00481EAC">
              <w:rPr>
                <w:b/>
                <w:color w:val="000000"/>
                <w:szCs w:val="24"/>
              </w:rPr>
              <w:t>74</w:t>
            </w:r>
          </w:p>
        </w:tc>
        <w:tc>
          <w:tcPr>
            <w:tcW w:w="1056" w:type="pct"/>
            <w:vAlign w:val="center"/>
          </w:tcPr>
          <w:p w:rsidR="00D235CD" w:rsidRPr="005F6FF3" w:rsidRDefault="00D235CD" w:rsidP="00D235CD">
            <w:pPr>
              <w:spacing w:line="276" w:lineRule="auto"/>
              <w:jc w:val="center"/>
              <w:rPr>
                <w:b/>
                <w:bCs/>
                <w:color w:val="000000"/>
                <w:szCs w:val="24"/>
              </w:rPr>
            </w:pPr>
            <w:r>
              <w:rPr>
                <w:b/>
                <w:bCs/>
                <w:color w:val="000000"/>
                <w:szCs w:val="24"/>
              </w:rPr>
              <w:t>-</w:t>
            </w:r>
          </w:p>
        </w:tc>
        <w:tc>
          <w:tcPr>
            <w:tcW w:w="706" w:type="pct"/>
            <w:vAlign w:val="center"/>
          </w:tcPr>
          <w:p w:rsidR="00D235CD" w:rsidRPr="009B0449" w:rsidRDefault="00804048" w:rsidP="00D235CD">
            <w:pPr>
              <w:spacing w:line="276" w:lineRule="auto"/>
              <w:jc w:val="center"/>
              <w:rPr>
                <w:b/>
                <w:color w:val="000000"/>
                <w:szCs w:val="24"/>
              </w:rPr>
            </w:pPr>
            <w:r>
              <w:rPr>
                <w:b/>
                <w:color w:val="000000"/>
                <w:szCs w:val="24"/>
              </w:rPr>
              <w:t>16</w:t>
            </w:r>
            <w:r w:rsidR="00481EAC">
              <w:rPr>
                <w:b/>
                <w:color w:val="000000"/>
                <w:szCs w:val="24"/>
              </w:rPr>
              <w:t>2</w:t>
            </w:r>
            <w:r>
              <w:rPr>
                <w:b/>
                <w:color w:val="000000"/>
                <w:szCs w:val="24"/>
              </w:rPr>
              <w:t>.</w:t>
            </w:r>
            <w:r w:rsidR="00481EAC">
              <w:rPr>
                <w:b/>
                <w:color w:val="000000"/>
                <w:szCs w:val="24"/>
              </w:rPr>
              <w:t>74</w:t>
            </w:r>
          </w:p>
        </w:tc>
      </w:tr>
    </w:tbl>
    <w:p w:rsidR="005A7E94" w:rsidRDefault="005A7E94" w:rsidP="00CA38AE">
      <w:pPr>
        <w:rPr>
          <w:lang w:val="en-GB"/>
        </w:rPr>
      </w:pPr>
    </w:p>
    <w:p w:rsidR="00CF0900" w:rsidRDefault="007419FD" w:rsidP="007419FD">
      <w:pPr>
        <w:pStyle w:val="Heading2"/>
      </w:pPr>
      <w:r>
        <w:t>The summary of other charges for FY 2019-20 is as shown in the Table below:</w:t>
      </w:r>
    </w:p>
    <w:p w:rsidR="007419FD" w:rsidRDefault="007419FD" w:rsidP="007419FD">
      <w:pPr>
        <w:rPr>
          <w:lang w:val="en-GB"/>
        </w:rPr>
      </w:pPr>
    </w:p>
    <w:p w:rsidR="007419FD" w:rsidRPr="00876857" w:rsidRDefault="007419FD" w:rsidP="007419FD">
      <w:pPr>
        <w:keepNext/>
        <w:spacing w:line="240" w:lineRule="auto"/>
        <w:jc w:val="center"/>
        <w:rPr>
          <w:b/>
          <w:bCs/>
          <w:szCs w:val="18"/>
        </w:rPr>
      </w:pPr>
      <w:bookmarkStart w:id="419" w:name="_Toc530497551"/>
      <w:r w:rsidRPr="00876857">
        <w:rPr>
          <w:b/>
          <w:bCs/>
          <w:szCs w:val="18"/>
        </w:rPr>
        <w:t xml:space="preserve">Table </w:t>
      </w:r>
      <w:r w:rsidR="00687F74" w:rsidRPr="00876857">
        <w:rPr>
          <w:b/>
          <w:bCs/>
          <w:szCs w:val="18"/>
        </w:rPr>
        <w:fldChar w:fldCharType="begin"/>
      </w:r>
      <w:r w:rsidRPr="00876857">
        <w:rPr>
          <w:b/>
          <w:bCs/>
          <w:szCs w:val="18"/>
        </w:rPr>
        <w:instrText xml:space="preserve"> SEQ Table \* ARABIC </w:instrText>
      </w:r>
      <w:r w:rsidR="00687F74" w:rsidRPr="00876857">
        <w:rPr>
          <w:b/>
          <w:bCs/>
          <w:szCs w:val="18"/>
        </w:rPr>
        <w:fldChar w:fldCharType="separate"/>
      </w:r>
      <w:r w:rsidR="008A42C7">
        <w:rPr>
          <w:b/>
          <w:bCs/>
          <w:noProof/>
          <w:szCs w:val="18"/>
        </w:rPr>
        <w:t>16</w:t>
      </w:r>
      <w:r w:rsidR="00687F74" w:rsidRPr="00876857">
        <w:rPr>
          <w:b/>
          <w:bCs/>
          <w:szCs w:val="18"/>
        </w:rPr>
        <w:fldChar w:fldCharType="end"/>
      </w:r>
      <w:r w:rsidRPr="00876857">
        <w:rPr>
          <w:b/>
          <w:bCs/>
          <w:szCs w:val="18"/>
        </w:rPr>
        <w:t>:</w:t>
      </w:r>
      <w:r>
        <w:rPr>
          <w:b/>
          <w:bCs/>
          <w:szCs w:val="18"/>
        </w:rPr>
        <w:t xml:space="preserve"> Other Charges for FY 2019-20</w:t>
      </w:r>
      <w:bookmarkEnd w:id="4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tblPr>
      <w:tblGrid>
        <w:gridCol w:w="3004"/>
        <w:gridCol w:w="1380"/>
        <w:gridCol w:w="1605"/>
        <w:gridCol w:w="1953"/>
        <w:gridCol w:w="1306"/>
      </w:tblGrid>
      <w:tr w:rsidR="007419FD" w:rsidRPr="005F6FF3" w:rsidTr="00204951">
        <w:trPr>
          <w:trHeight w:val="113"/>
          <w:tblHeader/>
          <w:jc w:val="center"/>
        </w:trPr>
        <w:tc>
          <w:tcPr>
            <w:tcW w:w="1629" w:type="pct"/>
            <w:shd w:val="clear" w:color="auto" w:fill="FABF8F"/>
            <w:vAlign w:val="center"/>
            <w:hideMark/>
          </w:tcPr>
          <w:p w:rsidR="007419FD" w:rsidRPr="00876857" w:rsidRDefault="007419FD" w:rsidP="00204951">
            <w:pPr>
              <w:widowControl w:val="0"/>
              <w:spacing w:line="276" w:lineRule="auto"/>
              <w:ind w:left="112"/>
              <w:jc w:val="left"/>
              <w:rPr>
                <w:rFonts w:eastAsia="Times New Roman"/>
                <w:b/>
                <w:szCs w:val="24"/>
                <w:lang w:val="en-US"/>
              </w:rPr>
            </w:pPr>
            <w:r w:rsidRPr="00876857">
              <w:rPr>
                <w:rFonts w:eastAsia="Times New Roman"/>
                <w:b/>
                <w:szCs w:val="24"/>
                <w:lang w:val="en-US"/>
              </w:rPr>
              <w:t>Particulars</w:t>
            </w:r>
          </w:p>
        </w:tc>
        <w:tc>
          <w:tcPr>
            <w:tcW w:w="751" w:type="pct"/>
            <w:shd w:val="clear" w:color="auto" w:fill="FABF8F"/>
            <w:vAlign w:val="center"/>
          </w:tcPr>
          <w:p w:rsidR="007419FD" w:rsidRPr="005F6FF3" w:rsidRDefault="007419FD" w:rsidP="00204951">
            <w:pPr>
              <w:spacing w:line="276" w:lineRule="auto"/>
              <w:jc w:val="center"/>
              <w:rPr>
                <w:b/>
                <w:bCs/>
                <w:szCs w:val="24"/>
              </w:rPr>
            </w:pPr>
            <w:r>
              <w:rPr>
                <w:b/>
                <w:bCs/>
                <w:szCs w:val="24"/>
              </w:rPr>
              <w:t>Units</w:t>
            </w:r>
          </w:p>
        </w:tc>
        <w:tc>
          <w:tcPr>
            <w:tcW w:w="848" w:type="pct"/>
            <w:shd w:val="clear" w:color="auto" w:fill="FABF8F"/>
            <w:vAlign w:val="center"/>
          </w:tcPr>
          <w:p w:rsidR="007419FD" w:rsidRPr="005F6FF3" w:rsidRDefault="007419FD" w:rsidP="00204951">
            <w:pPr>
              <w:spacing w:line="276" w:lineRule="auto"/>
              <w:jc w:val="center"/>
              <w:rPr>
                <w:b/>
                <w:bCs/>
                <w:szCs w:val="24"/>
              </w:rPr>
            </w:pPr>
            <w:r w:rsidRPr="005F6FF3">
              <w:rPr>
                <w:b/>
                <w:bCs/>
                <w:szCs w:val="24"/>
              </w:rPr>
              <w:t>Corresponding to original project cost</w:t>
            </w:r>
          </w:p>
        </w:tc>
        <w:tc>
          <w:tcPr>
            <w:tcW w:w="1061" w:type="pct"/>
            <w:shd w:val="clear" w:color="auto" w:fill="FABF8F"/>
            <w:vAlign w:val="center"/>
          </w:tcPr>
          <w:p w:rsidR="007419FD" w:rsidRPr="005F6FF3" w:rsidRDefault="007419FD" w:rsidP="00204951">
            <w:pPr>
              <w:spacing w:line="276" w:lineRule="auto"/>
              <w:jc w:val="center"/>
              <w:rPr>
                <w:b/>
                <w:bCs/>
                <w:szCs w:val="24"/>
              </w:rPr>
            </w:pPr>
            <w:r w:rsidRPr="005F6FF3">
              <w:rPr>
                <w:b/>
                <w:bCs/>
                <w:szCs w:val="24"/>
              </w:rPr>
              <w:t>Corresponding to Additional Capitalisation</w:t>
            </w:r>
          </w:p>
        </w:tc>
        <w:tc>
          <w:tcPr>
            <w:tcW w:w="712" w:type="pct"/>
            <w:shd w:val="clear" w:color="auto" w:fill="FABF8F"/>
            <w:vAlign w:val="center"/>
          </w:tcPr>
          <w:p w:rsidR="007419FD" w:rsidRPr="005F6FF3" w:rsidRDefault="007419FD" w:rsidP="00204951">
            <w:pPr>
              <w:spacing w:line="276" w:lineRule="auto"/>
              <w:jc w:val="center"/>
              <w:rPr>
                <w:b/>
                <w:bCs/>
                <w:szCs w:val="24"/>
              </w:rPr>
            </w:pPr>
            <w:r w:rsidRPr="005F6FF3">
              <w:rPr>
                <w:b/>
                <w:bCs/>
                <w:szCs w:val="24"/>
              </w:rPr>
              <w:t>Total</w:t>
            </w:r>
          </w:p>
        </w:tc>
      </w:tr>
      <w:tr w:rsidR="007419FD" w:rsidRPr="005F6FF3" w:rsidTr="00204951">
        <w:trPr>
          <w:trHeight w:val="113"/>
          <w:jc w:val="center"/>
        </w:trPr>
        <w:tc>
          <w:tcPr>
            <w:tcW w:w="1629" w:type="pct"/>
            <w:shd w:val="clear" w:color="auto" w:fill="auto"/>
            <w:vAlign w:val="center"/>
          </w:tcPr>
          <w:p w:rsidR="007419FD" w:rsidRPr="00876857" w:rsidRDefault="007419FD" w:rsidP="00204951">
            <w:pPr>
              <w:widowControl w:val="0"/>
              <w:spacing w:line="276" w:lineRule="auto"/>
              <w:ind w:left="112"/>
              <w:jc w:val="left"/>
              <w:rPr>
                <w:rFonts w:eastAsia="Times New Roman"/>
                <w:szCs w:val="24"/>
                <w:lang w:val="en-US"/>
              </w:rPr>
            </w:pPr>
            <w:r>
              <w:rPr>
                <w:rFonts w:eastAsia="Times New Roman"/>
                <w:szCs w:val="24"/>
                <w:lang w:val="en-US"/>
              </w:rPr>
              <w:t>Other Charges</w:t>
            </w:r>
          </w:p>
        </w:tc>
        <w:tc>
          <w:tcPr>
            <w:tcW w:w="751" w:type="pct"/>
            <w:vAlign w:val="center"/>
          </w:tcPr>
          <w:p w:rsidR="007419FD" w:rsidRDefault="007419FD" w:rsidP="00204951">
            <w:pPr>
              <w:spacing w:line="276" w:lineRule="auto"/>
              <w:jc w:val="center"/>
              <w:rPr>
                <w:color w:val="000000"/>
                <w:szCs w:val="24"/>
              </w:rPr>
            </w:pPr>
            <w:r>
              <w:rPr>
                <w:color w:val="000000"/>
                <w:szCs w:val="24"/>
              </w:rPr>
              <w:t>Rs. Crore</w:t>
            </w:r>
          </w:p>
        </w:tc>
        <w:tc>
          <w:tcPr>
            <w:tcW w:w="848" w:type="pct"/>
            <w:vAlign w:val="center"/>
          </w:tcPr>
          <w:p w:rsidR="007419FD" w:rsidRPr="00F77F74" w:rsidRDefault="0059583E" w:rsidP="00204951">
            <w:pPr>
              <w:spacing w:line="276" w:lineRule="auto"/>
              <w:jc w:val="center"/>
              <w:rPr>
                <w:color w:val="000000"/>
                <w:szCs w:val="24"/>
              </w:rPr>
            </w:pPr>
            <w:r>
              <w:rPr>
                <w:color w:val="000000"/>
                <w:szCs w:val="24"/>
              </w:rPr>
              <w:t>73.51</w:t>
            </w:r>
          </w:p>
        </w:tc>
        <w:tc>
          <w:tcPr>
            <w:tcW w:w="1061" w:type="pct"/>
            <w:vAlign w:val="center"/>
          </w:tcPr>
          <w:p w:rsidR="007419FD" w:rsidRPr="00876857" w:rsidRDefault="007419FD" w:rsidP="00204951">
            <w:pPr>
              <w:spacing w:line="276" w:lineRule="auto"/>
              <w:jc w:val="center"/>
              <w:rPr>
                <w:color w:val="000000"/>
                <w:szCs w:val="24"/>
              </w:rPr>
            </w:pPr>
            <w:r>
              <w:rPr>
                <w:color w:val="000000"/>
                <w:szCs w:val="24"/>
              </w:rPr>
              <w:t>3.43</w:t>
            </w:r>
          </w:p>
        </w:tc>
        <w:tc>
          <w:tcPr>
            <w:tcW w:w="712" w:type="pct"/>
            <w:vAlign w:val="center"/>
          </w:tcPr>
          <w:p w:rsidR="007419FD" w:rsidRPr="005F6FF3" w:rsidRDefault="0059583E" w:rsidP="00204951">
            <w:pPr>
              <w:spacing w:line="276" w:lineRule="auto"/>
              <w:jc w:val="center"/>
              <w:rPr>
                <w:color w:val="000000"/>
                <w:szCs w:val="24"/>
              </w:rPr>
            </w:pPr>
            <w:r>
              <w:rPr>
                <w:color w:val="000000"/>
                <w:szCs w:val="24"/>
              </w:rPr>
              <w:t>76.94</w:t>
            </w:r>
          </w:p>
        </w:tc>
      </w:tr>
    </w:tbl>
    <w:p w:rsidR="007419FD" w:rsidRPr="007419FD" w:rsidRDefault="007419FD" w:rsidP="007419FD">
      <w:pPr>
        <w:rPr>
          <w:lang w:val="en-GB"/>
        </w:rPr>
      </w:pPr>
    </w:p>
    <w:p w:rsidR="003121BD" w:rsidRDefault="003121BD">
      <w:pPr>
        <w:spacing w:line="240" w:lineRule="auto"/>
        <w:jc w:val="left"/>
      </w:pPr>
      <w:r>
        <w:br w:type="page"/>
      </w:r>
    </w:p>
    <w:p w:rsidR="00855C2A" w:rsidRDefault="00855C2A" w:rsidP="00855C2A"/>
    <w:p w:rsidR="00FF6B72" w:rsidRPr="00F972D7" w:rsidRDefault="00FF6B72" w:rsidP="00855C2A">
      <w:pPr>
        <w:pStyle w:val="Heading1"/>
        <w:spacing w:before="0"/>
      </w:pPr>
      <w:bookmarkStart w:id="420" w:name="_Toc530497535"/>
      <w:r w:rsidRPr="00F972D7">
        <w:t>Prayers</w:t>
      </w:r>
      <w:bookmarkEnd w:id="403"/>
      <w:bookmarkEnd w:id="404"/>
      <w:bookmarkEnd w:id="420"/>
    </w:p>
    <w:p w:rsidR="00FF6B72" w:rsidRPr="00F972D7" w:rsidRDefault="00FF6B72" w:rsidP="00FF6B72">
      <w:pPr>
        <w:widowControl w:val="0"/>
        <w:rPr>
          <w:b/>
          <w:szCs w:val="24"/>
        </w:rPr>
      </w:pPr>
    </w:p>
    <w:p w:rsidR="00FF6B72" w:rsidRPr="00F972D7" w:rsidRDefault="00FF6B72" w:rsidP="00FF6B72">
      <w:pPr>
        <w:pStyle w:val="ListParagraph"/>
        <w:numPr>
          <w:ilvl w:val="0"/>
          <w:numId w:val="0"/>
        </w:numPr>
        <w:ind w:left="90"/>
        <w:rPr>
          <w:szCs w:val="24"/>
        </w:rPr>
      </w:pPr>
      <w:r w:rsidRPr="00F972D7">
        <w:rPr>
          <w:szCs w:val="24"/>
        </w:rPr>
        <w:t>OPGC respectfully prays that the Hon’ble OERC may:</w:t>
      </w:r>
    </w:p>
    <w:p w:rsidR="00FF6B72" w:rsidRPr="00F972D7" w:rsidRDefault="00FF6B72" w:rsidP="00FF6B72">
      <w:pPr>
        <w:pStyle w:val="ListParagraph"/>
        <w:numPr>
          <w:ilvl w:val="0"/>
          <w:numId w:val="0"/>
        </w:numPr>
        <w:spacing w:line="240" w:lineRule="auto"/>
        <w:ind w:left="90"/>
        <w:rPr>
          <w:szCs w:val="24"/>
        </w:rPr>
      </w:pPr>
      <w:bookmarkStart w:id="421" w:name="_GoBack"/>
      <w:bookmarkEnd w:id="421"/>
    </w:p>
    <w:p w:rsidR="00DA2D85" w:rsidRPr="00F972D7" w:rsidRDefault="00DA2D85" w:rsidP="00DA2D85">
      <w:pPr>
        <w:pStyle w:val="ListParagraph"/>
        <w:numPr>
          <w:ilvl w:val="0"/>
          <w:numId w:val="26"/>
        </w:numPr>
        <w:rPr>
          <w:szCs w:val="24"/>
          <w:lang w:val="en-US"/>
        </w:rPr>
      </w:pPr>
      <w:r w:rsidRPr="00F972D7">
        <w:rPr>
          <w:szCs w:val="24"/>
          <w:lang w:val="en-US"/>
        </w:rPr>
        <w:t>A</w:t>
      </w:r>
      <w:r>
        <w:rPr>
          <w:szCs w:val="24"/>
          <w:lang w:val="en-US"/>
        </w:rPr>
        <w:t xml:space="preserve">dmit </w:t>
      </w:r>
      <w:r w:rsidRPr="00F972D7">
        <w:rPr>
          <w:szCs w:val="24"/>
          <w:lang w:val="en-US"/>
        </w:rPr>
        <w:t>the</w:t>
      </w:r>
      <w:r>
        <w:rPr>
          <w:szCs w:val="24"/>
          <w:lang w:val="en-US"/>
        </w:rPr>
        <w:t xml:space="preserve"> instant Petition</w:t>
      </w:r>
      <w:r w:rsidRPr="00F972D7">
        <w:rPr>
          <w:szCs w:val="24"/>
          <w:lang w:val="en-US"/>
        </w:rPr>
        <w:t>.</w:t>
      </w:r>
    </w:p>
    <w:p w:rsidR="006B7FBD" w:rsidRDefault="006B7FBD" w:rsidP="006B7FBD">
      <w:pPr>
        <w:pStyle w:val="ListParagraph"/>
        <w:numPr>
          <w:ilvl w:val="0"/>
          <w:numId w:val="26"/>
        </w:numPr>
        <w:rPr>
          <w:szCs w:val="24"/>
          <w:lang w:val="en-US"/>
        </w:rPr>
      </w:pPr>
      <w:r>
        <w:rPr>
          <w:szCs w:val="24"/>
          <w:lang w:val="en-US"/>
        </w:rPr>
        <w:t>Approve the additional capitalisation for FY 2019-20 as claimed in the Petition.</w:t>
      </w:r>
    </w:p>
    <w:p w:rsidR="006B7FBD" w:rsidRDefault="006B7FBD" w:rsidP="006B7FBD">
      <w:pPr>
        <w:pStyle w:val="ListParagraph"/>
        <w:numPr>
          <w:ilvl w:val="0"/>
          <w:numId w:val="26"/>
        </w:numPr>
        <w:rPr>
          <w:szCs w:val="24"/>
          <w:lang w:val="en-US"/>
        </w:rPr>
      </w:pPr>
      <w:r w:rsidRPr="00F972D7">
        <w:rPr>
          <w:szCs w:val="24"/>
          <w:lang w:val="en-US"/>
        </w:rPr>
        <w:t>Approve the tariff, including annual fixed cost and variable charges</w:t>
      </w:r>
      <w:r>
        <w:rPr>
          <w:szCs w:val="24"/>
          <w:lang w:val="en-US"/>
        </w:rPr>
        <w:t>for</w:t>
      </w:r>
      <w:r w:rsidRPr="00F972D7">
        <w:rPr>
          <w:szCs w:val="24"/>
          <w:lang w:val="en-US"/>
        </w:rPr>
        <w:t xml:space="preserve"> FY 201</w:t>
      </w:r>
      <w:r>
        <w:rPr>
          <w:szCs w:val="24"/>
          <w:lang w:val="en-US"/>
        </w:rPr>
        <w:t>9</w:t>
      </w:r>
      <w:r w:rsidRPr="00F972D7">
        <w:rPr>
          <w:szCs w:val="24"/>
          <w:lang w:val="en-US"/>
        </w:rPr>
        <w:t>-</w:t>
      </w:r>
      <w:r>
        <w:rPr>
          <w:szCs w:val="24"/>
          <w:lang w:val="en-US"/>
        </w:rPr>
        <w:t>20 as claimed in the Petition.</w:t>
      </w:r>
    </w:p>
    <w:p w:rsidR="006C1D12" w:rsidRPr="006C1D12" w:rsidRDefault="006C1D12" w:rsidP="006C1D12">
      <w:pPr>
        <w:pStyle w:val="ListParagraph"/>
        <w:numPr>
          <w:ilvl w:val="0"/>
          <w:numId w:val="26"/>
        </w:numPr>
        <w:rPr>
          <w:szCs w:val="24"/>
          <w:lang w:val="en-US"/>
        </w:rPr>
      </w:pPr>
      <w:r>
        <w:rPr>
          <w:szCs w:val="24"/>
          <w:lang w:val="en-US"/>
        </w:rPr>
        <w:t xml:space="preserve">Approve the </w:t>
      </w:r>
      <w:r w:rsidRPr="006C1D12">
        <w:rPr>
          <w:szCs w:val="24"/>
          <w:lang w:val="en-US"/>
        </w:rPr>
        <w:t xml:space="preserve">variation in energy charges during the year on account of fuel prices and calorific value </w:t>
      </w:r>
      <w:r>
        <w:rPr>
          <w:szCs w:val="24"/>
          <w:lang w:val="en-US"/>
        </w:rPr>
        <w:t xml:space="preserve">to </w:t>
      </w:r>
      <w:r w:rsidRPr="006C1D12">
        <w:rPr>
          <w:szCs w:val="24"/>
          <w:lang w:val="en-US"/>
        </w:rPr>
        <w:t xml:space="preserve">be claimed through Fuel Price Adjustment in supplementary bills on half yearly basis as per the provisions of PPA. </w:t>
      </w:r>
    </w:p>
    <w:p w:rsidR="006B7FBD" w:rsidRDefault="006B7FBD" w:rsidP="006B7FBD">
      <w:pPr>
        <w:pStyle w:val="ListParagraph"/>
        <w:numPr>
          <w:ilvl w:val="0"/>
          <w:numId w:val="26"/>
        </w:numPr>
        <w:rPr>
          <w:szCs w:val="24"/>
          <w:lang w:val="en-US"/>
        </w:rPr>
      </w:pPr>
      <w:r>
        <w:rPr>
          <w:szCs w:val="24"/>
          <w:lang w:val="en-US"/>
        </w:rPr>
        <w:t>Approve the other charges for FY 2019-20 as claimed in the Petition.</w:t>
      </w:r>
    </w:p>
    <w:p w:rsidR="006B7FBD" w:rsidRDefault="006B7FBD" w:rsidP="006B7FBD">
      <w:pPr>
        <w:pStyle w:val="ListParagraph"/>
        <w:numPr>
          <w:ilvl w:val="0"/>
          <w:numId w:val="26"/>
        </w:numPr>
        <w:rPr>
          <w:szCs w:val="24"/>
          <w:lang w:val="en-US"/>
        </w:rPr>
      </w:pPr>
      <w:r>
        <w:rPr>
          <w:szCs w:val="24"/>
          <w:lang w:val="en-US"/>
        </w:rPr>
        <w:t>Approve the recovery of other charges on actual basis during FY 2019-20.</w:t>
      </w:r>
    </w:p>
    <w:p w:rsidR="00DA2D85" w:rsidRPr="00F972D7" w:rsidRDefault="00DA2D85" w:rsidP="00DA2D85">
      <w:pPr>
        <w:pStyle w:val="ListParagraph"/>
        <w:numPr>
          <w:ilvl w:val="0"/>
          <w:numId w:val="26"/>
        </w:numPr>
        <w:rPr>
          <w:szCs w:val="24"/>
          <w:lang w:val="en-US"/>
        </w:rPr>
      </w:pPr>
      <w:r w:rsidRPr="00F972D7">
        <w:rPr>
          <w:szCs w:val="24"/>
          <w:lang w:val="en-US"/>
        </w:rPr>
        <w:t>Condone any inadvertent omissions, errors, short comings and permit OPGC to add/ change/ modify/ alter this filing and make further submissions as may be required at a future date; and</w:t>
      </w:r>
    </w:p>
    <w:p w:rsidR="00FF6B72" w:rsidRDefault="00DA2D85" w:rsidP="00FF6B72">
      <w:pPr>
        <w:pStyle w:val="ListParagraph"/>
        <w:numPr>
          <w:ilvl w:val="0"/>
          <w:numId w:val="26"/>
        </w:numPr>
      </w:pPr>
      <w:r w:rsidRPr="00F972D7">
        <w:rPr>
          <w:szCs w:val="24"/>
          <w:lang w:val="en-US"/>
        </w:rPr>
        <w:t>Pass such other and further Orders as deemed fit and proper in the facts and circumstances of the case.</w:t>
      </w:r>
    </w:p>
    <w:p w:rsidR="00FF6B72" w:rsidRPr="00F972D7" w:rsidRDefault="00FF6B72" w:rsidP="00FF6B72">
      <w:pPr>
        <w:widowControl w:val="0"/>
        <w:spacing w:line="240" w:lineRule="auto"/>
        <w:jc w:val="right"/>
        <w:rPr>
          <w:szCs w:val="24"/>
        </w:rPr>
      </w:pPr>
    </w:p>
    <w:p w:rsidR="00FF6B72" w:rsidRPr="00F972D7" w:rsidRDefault="00FF6B72" w:rsidP="00FF6B72">
      <w:pPr>
        <w:widowControl w:val="0"/>
        <w:jc w:val="right"/>
        <w:rPr>
          <w:szCs w:val="24"/>
        </w:rPr>
      </w:pPr>
    </w:p>
    <w:p w:rsidR="00FF6B72" w:rsidRPr="00F972D7" w:rsidRDefault="00FF6B72" w:rsidP="00FF6B72">
      <w:pPr>
        <w:widowControl w:val="0"/>
        <w:jc w:val="right"/>
        <w:rPr>
          <w:szCs w:val="24"/>
        </w:rPr>
      </w:pPr>
      <w:r w:rsidRPr="00F972D7">
        <w:rPr>
          <w:szCs w:val="24"/>
        </w:rPr>
        <w:t>Petitioner</w:t>
      </w:r>
    </w:p>
    <w:p w:rsidR="00FF6B72" w:rsidRPr="00F972D7" w:rsidRDefault="00FF6B72" w:rsidP="00FF6B72">
      <w:pPr>
        <w:widowControl w:val="0"/>
        <w:rPr>
          <w:szCs w:val="24"/>
        </w:rPr>
      </w:pPr>
      <w:r w:rsidRPr="00F972D7">
        <w:rPr>
          <w:szCs w:val="24"/>
        </w:rPr>
        <w:t>Bhubaneshwar</w:t>
      </w:r>
    </w:p>
    <w:p w:rsidR="00C5317A" w:rsidRPr="00D73D7D" w:rsidRDefault="00492956" w:rsidP="00D73D7D">
      <w:pPr>
        <w:widowControl w:val="0"/>
        <w:rPr>
          <w:szCs w:val="24"/>
        </w:rPr>
      </w:pPr>
      <w:r>
        <w:rPr>
          <w:szCs w:val="24"/>
        </w:rPr>
        <w:t xml:space="preserve">November </w:t>
      </w:r>
      <w:r w:rsidR="006A3C91">
        <w:rPr>
          <w:szCs w:val="24"/>
        </w:rPr>
        <w:t>2</w:t>
      </w:r>
      <w:r w:rsidR="001D5142">
        <w:rPr>
          <w:szCs w:val="24"/>
        </w:rPr>
        <w:t>8</w:t>
      </w:r>
      <w:r w:rsidR="00FF6B72" w:rsidRPr="00F972D7">
        <w:rPr>
          <w:szCs w:val="24"/>
        </w:rPr>
        <w:t>, 201</w:t>
      </w:r>
      <w:r w:rsidR="00FF6B72">
        <w:rPr>
          <w:szCs w:val="24"/>
        </w:rPr>
        <w:t>8</w:t>
      </w:r>
    </w:p>
    <w:sectPr w:rsidR="00C5317A" w:rsidRPr="00D73D7D" w:rsidSect="009A7168">
      <w:footerReference w:type="default" r:id="rId9"/>
      <w:pgSz w:w="11906" w:h="16838"/>
      <w:pgMar w:top="1985" w:right="1276" w:bottom="1712" w:left="1440" w:header="709" w:footer="1245"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79BA" w:rsidRDefault="007879BA" w:rsidP="005D2BCA">
      <w:pPr>
        <w:spacing w:line="240" w:lineRule="auto"/>
      </w:pPr>
      <w:r>
        <w:separator/>
      </w:r>
    </w:p>
    <w:p w:rsidR="007879BA" w:rsidRDefault="007879BA"/>
  </w:endnote>
  <w:endnote w:type="continuationSeparator" w:id="1">
    <w:p w:rsidR="007879BA" w:rsidRDefault="007879BA" w:rsidP="005D2BCA">
      <w:pPr>
        <w:spacing w:line="240" w:lineRule="auto"/>
      </w:pPr>
      <w:r>
        <w:continuationSeparator/>
      </w:r>
    </w:p>
    <w:p w:rsidR="007879BA" w:rsidRDefault="007879BA"/>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Segoe UI Symbol">
    <w:altName w:val="Segoe UI"/>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2C7" w:rsidRPr="00025BD0" w:rsidRDefault="008A42C7">
    <w:pPr>
      <w:pStyle w:val="Footer"/>
      <w:pBdr>
        <w:top w:val="thinThickSmallGap" w:sz="24" w:space="1" w:color="622423" w:themeColor="accent2" w:themeShade="7F"/>
      </w:pBdr>
      <w:rPr>
        <w:i/>
      </w:rPr>
    </w:pPr>
    <w:r w:rsidRPr="00025BD0">
      <w:rPr>
        <w:i/>
      </w:rPr>
      <w:t xml:space="preserve">Petition for </w:t>
    </w:r>
    <w:r>
      <w:rPr>
        <w:i/>
      </w:rPr>
      <w:t>determination of</w:t>
    </w:r>
    <w:r w:rsidRPr="00025BD0">
      <w:rPr>
        <w:i/>
      </w:rPr>
      <w:t xml:space="preserve"> Tariff for FY 201</w:t>
    </w:r>
    <w:r>
      <w:rPr>
        <w:i/>
      </w:rPr>
      <w:t>9</w:t>
    </w:r>
    <w:r w:rsidRPr="00025BD0">
      <w:rPr>
        <w:i/>
      </w:rPr>
      <w:t>-</w:t>
    </w:r>
    <w:r>
      <w:rPr>
        <w:i/>
      </w:rPr>
      <w:t>20</w:t>
    </w:r>
    <w:r w:rsidRPr="00025BD0">
      <w:rPr>
        <w:i/>
      </w:rPr>
      <w:ptab w:relativeTo="margin" w:alignment="right" w:leader="none"/>
    </w:r>
    <w:r w:rsidRPr="00025BD0">
      <w:rPr>
        <w:i/>
      </w:rPr>
      <w:t xml:space="preserve">Page </w:t>
    </w:r>
    <w:r w:rsidR="00687F74" w:rsidRPr="00025BD0">
      <w:rPr>
        <w:i/>
      </w:rPr>
      <w:fldChar w:fldCharType="begin"/>
    </w:r>
    <w:r w:rsidRPr="00025BD0">
      <w:rPr>
        <w:i/>
      </w:rPr>
      <w:instrText xml:space="preserve"> PAGE   \* MERGEFORMAT </w:instrText>
    </w:r>
    <w:r w:rsidR="00687F74" w:rsidRPr="00025BD0">
      <w:rPr>
        <w:i/>
      </w:rPr>
      <w:fldChar w:fldCharType="separate"/>
    </w:r>
    <w:r w:rsidR="00430179">
      <w:rPr>
        <w:i/>
        <w:noProof/>
      </w:rPr>
      <w:t>39</w:t>
    </w:r>
    <w:r w:rsidR="00687F74" w:rsidRPr="00025BD0">
      <w:rPr>
        <w:i/>
      </w:rPr>
      <w:fldChar w:fldCharType="end"/>
    </w:r>
  </w:p>
  <w:p w:rsidR="008A42C7" w:rsidRDefault="008A42C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79BA" w:rsidRDefault="007879BA" w:rsidP="005D2BCA">
      <w:pPr>
        <w:spacing w:line="240" w:lineRule="auto"/>
      </w:pPr>
      <w:r>
        <w:separator/>
      </w:r>
    </w:p>
    <w:p w:rsidR="007879BA" w:rsidRDefault="007879BA"/>
  </w:footnote>
  <w:footnote w:type="continuationSeparator" w:id="1">
    <w:p w:rsidR="007879BA" w:rsidRDefault="007879BA" w:rsidP="005D2BCA">
      <w:pPr>
        <w:spacing w:line="240" w:lineRule="auto"/>
      </w:pPr>
      <w:r>
        <w:continuationSeparator/>
      </w:r>
    </w:p>
    <w:p w:rsidR="007879BA" w:rsidRDefault="007879B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37739"/>
    <w:multiLevelType w:val="hybridMultilevel"/>
    <w:tmpl w:val="72CA3CBA"/>
    <w:lvl w:ilvl="0" w:tplc="6B287F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5D549A4"/>
    <w:multiLevelType w:val="hybridMultilevel"/>
    <w:tmpl w:val="6FEAC48E"/>
    <w:lvl w:ilvl="0" w:tplc="E196CA68">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6643A9A"/>
    <w:multiLevelType w:val="multilevel"/>
    <w:tmpl w:val="4009001D"/>
    <w:styleLink w:val="StyleV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D6D1BBF"/>
    <w:multiLevelType w:val="multilevel"/>
    <w:tmpl w:val="3182BA22"/>
    <w:lvl w:ilvl="0">
      <w:start w:val="1"/>
      <w:numFmt w:val="decimal"/>
      <w:lvlText w:val="A%1."/>
      <w:lvlJc w:val="left"/>
      <w:pPr>
        <w:ind w:left="702" w:hanging="432"/>
      </w:pPr>
      <w:rPr>
        <w:rFonts w:hint="default"/>
        <w:i w:val="0"/>
        <w:sz w:val="24"/>
        <w:szCs w:val="20"/>
      </w:rPr>
    </w:lvl>
    <w:lvl w:ilvl="1">
      <w:start w:val="1"/>
      <w:numFmt w:val="decimal"/>
      <w:lvlText w:val="6.%2."/>
      <w:lvlJc w:val="left"/>
      <w:pPr>
        <w:ind w:left="666" w:hanging="576"/>
      </w:pPr>
      <w:rPr>
        <w:rFonts w:ascii="Times New Roman" w:eastAsia="Calibri" w:hAnsi="Times New Roman" w:cs="Times New Roman" w:hint="default"/>
        <w:b w:val="0"/>
        <w:i w:val="0"/>
        <w:color w:val="auto"/>
        <w:sz w:val="24"/>
        <w:szCs w:val="24"/>
      </w:rPr>
    </w:lvl>
    <w:lvl w:ilvl="2">
      <w:start w:val="1"/>
      <w:numFmt w:val="decimal"/>
      <w:lvlText w:val="%1.%2.%3"/>
      <w:lvlJc w:val="left"/>
      <w:pPr>
        <w:ind w:left="720" w:hanging="720"/>
      </w:pPr>
      <w:rPr>
        <w:rFonts w:ascii="Book Antiqua" w:hAnsi="Book Antiqua" w:hint="default"/>
        <w:b w:val="0"/>
        <w:i w:val="0"/>
        <w:sz w:val="22"/>
        <w:szCs w:val="22"/>
      </w:rPr>
    </w:lvl>
    <w:lvl w:ilvl="3">
      <w:start w:val="1"/>
      <w:numFmt w:val="decimal"/>
      <w:lvlText w:val="%1.%2.%3.%4"/>
      <w:lvlJc w:val="left"/>
      <w:pPr>
        <w:ind w:left="864" w:hanging="864"/>
      </w:pPr>
      <w:rPr>
        <w:rFonts w:hint="default"/>
        <w:b/>
        <w:i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21DD4CAF"/>
    <w:multiLevelType w:val="hybridMultilevel"/>
    <w:tmpl w:val="962A32D8"/>
    <w:lvl w:ilvl="0" w:tplc="6B065A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327C5E"/>
    <w:multiLevelType w:val="hybridMultilevel"/>
    <w:tmpl w:val="D51E5C4A"/>
    <w:lvl w:ilvl="0" w:tplc="0786DAD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5357A8"/>
    <w:multiLevelType w:val="hybridMultilevel"/>
    <w:tmpl w:val="2D2EB740"/>
    <w:lvl w:ilvl="0" w:tplc="0809000F">
      <w:start w:val="1"/>
      <w:numFmt w:val="decimal"/>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7">
    <w:nsid w:val="24C5505C"/>
    <w:multiLevelType w:val="hybridMultilevel"/>
    <w:tmpl w:val="255A3F6E"/>
    <w:lvl w:ilvl="0" w:tplc="40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015AF2"/>
    <w:multiLevelType w:val="multilevel"/>
    <w:tmpl w:val="920A2BEE"/>
    <w:lvl w:ilvl="0">
      <w:start w:val="1"/>
      <w:numFmt w:val="decimal"/>
      <w:lvlText w:val="%1."/>
      <w:lvlJc w:val="left"/>
      <w:pPr>
        <w:ind w:left="432" w:hanging="432"/>
      </w:pPr>
      <w:rPr>
        <w:rFonts w:hint="default"/>
        <w:b w:val="0"/>
        <w:i w:val="0"/>
        <w:sz w:val="24"/>
        <w:szCs w:val="20"/>
      </w:rPr>
    </w:lvl>
    <w:lvl w:ilvl="1">
      <w:start w:val="1"/>
      <w:numFmt w:val="lowerLetter"/>
      <w:lvlText w:val="(%2)"/>
      <w:lvlJc w:val="left"/>
      <w:pPr>
        <w:ind w:left="1427" w:hanging="576"/>
      </w:pPr>
      <w:rPr>
        <w:rFonts w:ascii="Times New Roman" w:eastAsia="Times New Roman" w:hAnsi="Times New Roman" w:cs="Times New Roman"/>
        <w:b w:val="0"/>
        <w:i w:val="0"/>
        <w:color w:val="auto"/>
        <w:sz w:val="24"/>
        <w:szCs w:val="24"/>
      </w:rPr>
    </w:lvl>
    <w:lvl w:ilvl="2">
      <w:start w:val="1"/>
      <w:numFmt w:val="decimal"/>
      <w:lvlText w:val="%1.%2.%3"/>
      <w:lvlJc w:val="left"/>
      <w:pPr>
        <w:ind w:left="720" w:hanging="720"/>
      </w:pPr>
      <w:rPr>
        <w:b/>
        <w:i w:val="0"/>
        <w:sz w:val="24"/>
      </w:rPr>
    </w:lvl>
    <w:lvl w:ilvl="3">
      <w:start w:val="1"/>
      <w:numFmt w:val="decimal"/>
      <w:lvlText w:val="%1.%2.%3.%4"/>
      <w:lvlJc w:val="left"/>
      <w:pPr>
        <w:ind w:left="864" w:hanging="864"/>
      </w:pPr>
      <w:rPr>
        <w:b/>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349C799C"/>
    <w:multiLevelType w:val="hybridMultilevel"/>
    <w:tmpl w:val="B1F8E376"/>
    <w:lvl w:ilvl="0" w:tplc="CFB26BC4">
      <w:start w:val="1"/>
      <w:numFmt w:val="lowerLetter"/>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274BA9"/>
    <w:multiLevelType w:val="hybridMultilevel"/>
    <w:tmpl w:val="CA06B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7B854C2"/>
    <w:multiLevelType w:val="multilevel"/>
    <w:tmpl w:val="920A2BEE"/>
    <w:lvl w:ilvl="0">
      <w:start w:val="1"/>
      <w:numFmt w:val="decimal"/>
      <w:lvlText w:val="%1."/>
      <w:lvlJc w:val="left"/>
      <w:pPr>
        <w:ind w:left="432" w:hanging="432"/>
      </w:pPr>
      <w:rPr>
        <w:rFonts w:hint="default"/>
        <w:b w:val="0"/>
        <w:i w:val="0"/>
        <w:sz w:val="24"/>
        <w:szCs w:val="20"/>
      </w:rPr>
    </w:lvl>
    <w:lvl w:ilvl="1">
      <w:start w:val="1"/>
      <w:numFmt w:val="lowerLetter"/>
      <w:lvlText w:val="(%2)"/>
      <w:lvlJc w:val="left"/>
      <w:pPr>
        <w:ind w:left="1427" w:hanging="576"/>
      </w:pPr>
      <w:rPr>
        <w:rFonts w:ascii="Times New Roman" w:eastAsia="Times New Roman" w:hAnsi="Times New Roman" w:cs="Times New Roman"/>
        <w:b w:val="0"/>
        <w:i w:val="0"/>
        <w:color w:val="auto"/>
        <w:sz w:val="24"/>
        <w:szCs w:val="24"/>
      </w:rPr>
    </w:lvl>
    <w:lvl w:ilvl="2">
      <w:start w:val="1"/>
      <w:numFmt w:val="decimal"/>
      <w:lvlText w:val="%1.%2.%3"/>
      <w:lvlJc w:val="left"/>
      <w:pPr>
        <w:ind w:left="720" w:hanging="720"/>
      </w:pPr>
      <w:rPr>
        <w:b/>
        <w:i w:val="0"/>
        <w:sz w:val="24"/>
      </w:rPr>
    </w:lvl>
    <w:lvl w:ilvl="3">
      <w:start w:val="1"/>
      <w:numFmt w:val="decimal"/>
      <w:lvlText w:val="%1.%2.%3.%4"/>
      <w:lvlJc w:val="left"/>
      <w:pPr>
        <w:ind w:left="864" w:hanging="864"/>
      </w:pPr>
      <w:rPr>
        <w:b/>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3A405610"/>
    <w:multiLevelType w:val="multilevel"/>
    <w:tmpl w:val="317CC826"/>
    <w:lvl w:ilvl="0">
      <w:start w:val="2"/>
      <w:numFmt w:val="decimal"/>
      <w:lvlText w:val="%1."/>
      <w:lvlJc w:val="left"/>
      <w:pPr>
        <w:ind w:left="360" w:hanging="360"/>
      </w:pPr>
      <w:rPr>
        <w:rFonts w:hint="default"/>
      </w:rPr>
    </w:lvl>
    <w:lvl w:ilvl="1">
      <w:start w:val="1"/>
      <w:numFmt w:val="decimal"/>
      <w:pStyle w:val="Style6"/>
      <w:lvlText w:val="%1.%2."/>
      <w:lvlJc w:val="left"/>
      <w:pPr>
        <w:ind w:left="792" w:hanging="432"/>
      </w:pPr>
      <w:rPr>
        <w:rFonts w:hint="default"/>
      </w:rPr>
    </w:lvl>
    <w:lvl w:ilvl="2">
      <w:start w:val="1"/>
      <w:numFmt w:val="decimal"/>
      <w:lvlText w:val="%1.%2.%3."/>
      <w:lvlJc w:val="left"/>
      <w:pPr>
        <w:ind w:left="1494" w:hanging="504"/>
      </w:pPr>
      <w:rPr>
        <w:rFonts w:ascii="Times New Roman" w:hAnsi="Times New Roman" w:cs="Times New Roman" w:hint="default"/>
        <w:b w:val="0"/>
        <w:i w:val="0"/>
        <w:color w:val="auto"/>
        <w:sz w:val="24"/>
        <w:szCs w:val="24"/>
      </w:rPr>
    </w:lvl>
    <w:lvl w:ilvl="3">
      <w:start w:val="1"/>
      <w:numFmt w:val="decimal"/>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sz w:val="16"/>
      </w:rPr>
    </w:lvl>
    <w:lvl w:ilvl="8">
      <w:start w:val="1"/>
      <w:numFmt w:val="decimal"/>
      <w:lvlText w:val="%1.%2.%3.%4.%5.%6.%7.%8.%9."/>
      <w:lvlJc w:val="left"/>
      <w:pPr>
        <w:ind w:left="4320" w:hanging="1440"/>
      </w:pPr>
      <w:rPr>
        <w:rFonts w:hint="default"/>
      </w:rPr>
    </w:lvl>
  </w:abstractNum>
  <w:abstractNum w:abstractNumId="13">
    <w:nsid w:val="3E70072A"/>
    <w:multiLevelType w:val="multilevel"/>
    <w:tmpl w:val="61B03946"/>
    <w:lvl w:ilvl="0">
      <w:start w:val="1"/>
      <w:numFmt w:val="decimal"/>
      <w:lvlText w:val="A%1."/>
      <w:lvlJc w:val="left"/>
      <w:pPr>
        <w:ind w:left="432" w:hanging="432"/>
      </w:pPr>
      <w:rPr>
        <w:rFonts w:hint="default"/>
        <w:i w:val="0"/>
        <w:sz w:val="24"/>
        <w:szCs w:val="20"/>
      </w:rPr>
    </w:lvl>
    <w:lvl w:ilvl="1">
      <w:start w:val="1"/>
      <w:numFmt w:val="lowerLetter"/>
      <w:lvlText w:val="(%2)"/>
      <w:lvlJc w:val="left"/>
      <w:pPr>
        <w:ind w:left="1427" w:hanging="576"/>
      </w:pPr>
      <w:rPr>
        <w:rFonts w:ascii="Times New Roman" w:eastAsia="Times New Roman" w:hAnsi="Times New Roman" w:cs="Times New Roman"/>
        <w:b w:val="0"/>
        <w:i w:val="0"/>
        <w:color w:val="auto"/>
        <w:sz w:val="24"/>
        <w:szCs w:val="24"/>
      </w:rPr>
    </w:lvl>
    <w:lvl w:ilvl="2">
      <w:start w:val="1"/>
      <w:numFmt w:val="decimal"/>
      <w:lvlText w:val="%1.%2.%3"/>
      <w:lvlJc w:val="left"/>
      <w:pPr>
        <w:ind w:left="720" w:hanging="720"/>
      </w:pPr>
      <w:rPr>
        <w:b/>
        <w:i w:val="0"/>
        <w:sz w:val="24"/>
      </w:rPr>
    </w:lvl>
    <w:lvl w:ilvl="3">
      <w:start w:val="1"/>
      <w:numFmt w:val="decimal"/>
      <w:lvlText w:val="%1.%2.%3.%4"/>
      <w:lvlJc w:val="left"/>
      <w:pPr>
        <w:ind w:left="864" w:hanging="864"/>
      </w:pPr>
      <w:rPr>
        <w:b/>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3F893969"/>
    <w:multiLevelType w:val="multilevel"/>
    <w:tmpl w:val="920A2BEE"/>
    <w:lvl w:ilvl="0">
      <w:start w:val="1"/>
      <w:numFmt w:val="decimal"/>
      <w:lvlText w:val="%1."/>
      <w:lvlJc w:val="left"/>
      <w:pPr>
        <w:ind w:left="432" w:hanging="432"/>
      </w:pPr>
      <w:rPr>
        <w:rFonts w:hint="default"/>
        <w:b w:val="0"/>
        <w:i w:val="0"/>
        <w:sz w:val="24"/>
        <w:szCs w:val="20"/>
      </w:rPr>
    </w:lvl>
    <w:lvl w:ilvl="1">
      <w:start w:val="1"/>
      <w:numFmt w:val="lowerLetter"/>
      <w:lvlText w:val="(%2)"/>
      <w:lvlJc w:val="left"/>
      <w:pPr>
        <w:ind w:left="1427" w:hanging="576"/>
      </w:pPr>
      <w:rPr>
        <w:rFonts w:ascii="Times New Roman" w:eastAsia="Times New Roman" w:hAnsi="Times New Roman" w:cs="Times New Roman"/>
        <w:b w:val="0"/>
        <w:i w:val="0"/>
        <w:color w:val="auto"/>
        <w:sz w:val="24"/>
        <w:szCs w:val="24"/>
      </w:rPr>
    </w:lvl>
    <w:lvl w:ilvl="2">
      <w:start w:val="1"/>
      <w:numFmt w:val="decimal"/>
      <w:lvlText w:val="%1.%2.%3"/>
      <w:lvlJc w:val="left"/>
      <w:pPr>
        <w:ind w:left="720" w:hanging="720"/>
      </w:pPr>
      <w:rPr>
        <w:b/>
        <w:i w:val="0"/>
        <w:sz w:val="24"/>
      </w:rPr>
    </w:lvl>
    <w:lvl w:ilvl="3">
      <w:start w:val="1"/>
      <w:numFmt w:val="decimal"/>
      <w:lvlText w:val="%1.%2.%3.%4"/>
      <w:lvlJc w:val="left"/>
      <w:pPr>
        <w:ind w:left="864" w:hanging="864"/>
      </w:pPr>
      <w:rPr>
        <w:b/>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459B0D84"/>
    <w:multiLevelType w:val="multilevel"/>
    <w:tmpl w:val="3CC8580E"/>
    <w:styleLink w:val="Styl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7706457"/>
    <w:multiLevelType w:val="hybridMultilevel"/>
    <w:tmpl w:val="6FEAC48E"/>
    <w:lvl w:ilvl="0" w:tplc="E196CA68">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nsid w:val="48A22430"/>
    <w:multiLevelType w:val="multilevel"/>
    <w:tmpl w:val="920A2BEE"/>
    <w:lvl w:ilvl="0">
      <w:start w:val="1"/>
      <w:numFmt w:val="decimal"/>
      <w:lvlText w:val="%1."/>
      <w:lvlJc w:val="left"/>
      <w:pPr>
        <w:ind w:left="432" w:hanging="432"/>
      </w:pPr>
      <w:rPr>
        <w:rFonts w:hint="default"/>
        <w:b w:val="0"/>
        <w:i w:val="0"/>
        <w:sz w:val="24"/>
        <w:szCs w:val="20"/>
      </w:rPr>
    </w:lvl>
    <w:lvl w:ilvl="1">
      <w:start w:val="1"/>
      <w:numFmt w:val="lowerLetter"/>
      <w:lvlText w:val="(%2)"/>
      <w:lvlJc w:val="left"/>
      <w:pPr>
        <w:ind w:left="1427" w:hanging="576"/>
      </w:pPr>
      <w:rPr>
        <w:rFonts w:ascii="Times New Roman" w:eastAsia="Times New Roman" w:hAnsi="Times New Roman" w:cs="Times New Roman"/>
        <w:b w:val="0"/>
        <w:i w:val="0"/>
        <w:color w:val="auto"/>
        <w:sz w:val="24"/>
        <w:szCs w:val="24"/>
      </w:rPr>
    </w:lvl>
    <w:lvl w:ilvl="2">
      <w:start w:val="1"/>
      <w:numFmt w:val="decimal"/>
      <w:lvlText w:val="%1.%2.%3"/>
      <w:lvlJc w:val="left"/>
      <w:pPr>
        <w:ind w:left="720" w:hanging="720"/>
      </w:pPr>
      <w:rPr>
        <w:b/>
        <w:i w:val="0"/>
        <w:sz w:val="24"/>
      </w:rPr>
    </w:lvl>
    <w:lvl w:ilvl="3">
      <w:start w:val="1"/>
      <w:numFmt w:val="decimal"/>
      <w:lvlText w:val="%1.%2.%3.%4"/>
      <w:lvlJc w:val="left"/>
      <w:pPr>
        <w:ind w:left="864" w:hanging="864"/>
      </w:pPr>
      <w:rPr>
        <w:b/>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4A945B8D"/>
    <w:multiLevelType w:val="hybridMultilevel"/>
    <w:tmpl w:val="D51E5C4A"/>
    <w:lvl w:ilvl="0" w:tplc="0786DAD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1246B7"/>
    <w:multiLevelType w:val="hybridMultilevel"/>
    <w:tmpl w:val="C5525EC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4EE86CD8"/>
    <w:multiLevelType w:val="hybridMultilevel"/>
    <w:tmpl w:val="C644BFAA"/>
    <w:lvl w:ilvl="0" w:tplc="C23E6F7E">
      <w:start w:val="1"/>
      <w:numFmt w:val="lowerLetter"/>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21">
    <w:nsid w:val="51112D6E"/>
    <w:multiLevelType w:val="hybridMultilevel"/>
    <w:tmpl w:val="1168293A"/>
    <w:lvl w:ilvl="0" w:tplc="40090001">
      <w:start w:val="1"/>
      <w:numFmt w:val="bullet"/>
      <w:lvlText w:val=""/>
      <w:lvlJc w:val="left"/>
      <w:pPr>
        <w:ind w:left="938" w:hanging="360"/>
      </w:pPr>
      <w:rPr>
        <w:rFonts w:ascii="Symbol" w:hAnsi="Symbol" w:hint="default"/>
      </w:rPr>
    </w:lvl>
    <w:lvl w:ilvl="1" w:tplc="40090003" w:tentative="1">
      <w:start w:val="1"/>
      <w:numFmt w:val="bullet"/>
      <w:lvlText w:val="o"/>
      <w:lvlJc w:val="left"/>
      <w:pPr>
        <w:ind w:left="1658" w:hanging="360"/>
      </w:pPr>
      <w:rPr>
        <w:rFonts w:ascii="Courier New" w:hAnsi="Courier New" w:cs="Courier New" w:hint="default"/>
      </w:rPr>
    </w:lvl>
    <w:lvl w:ilvl="2" w:tplc="40090005" w:tentative="1">
      <w:start w:val="1"/>
      <w:numFmt w:val="bullet"/>
      <w:lvlText w:val=""/>
      <w:lvlJc w:val="left"/>
      <w:pPr>
        <w:ind w:left="2378" w:hanging="360"/>
      </w:pPr>
      <w:rPr>
        <w:rFonts w:ascii="Wingdings" w:hAnsi="Wingdings" w:hint="default"/>
      </w:rPr>
    </w:lvl>
    <w:lvl w:ilvl="3" w:tplc="40090001" w:tentative="1">
      <w:start w:val="1"/>
      <w:numFmt w:val="bullet"/>
      <w:lvlText w:val=""/>
      <w:lvlJc w:val="left"/>
      <w:pPr>
        <w:ind w:left="3098" w:hanging="360"/>
      </w:pPr>
      <w:rPr>
        <w:rFonts w:ascii="Symbol" w:hAnsi="Symbol" w:hint="default"/>
      </w:rPr>
    </w:lvl>
    <w:lvl w:ilvl="4" w:tplc="40090003" w:tentative="1">
      <w:start w:val="1"/>
      <w:numFmt w:val="bullet"/>
      <w:lvlText w:val="o"/>
      <w:lvlJc w:val="left"/>
      <w:pPr>
        <w:ind w:left="3818" w:hanging="360"/>
      </w:pPr>
      <w:rPr>
        <w:rFonts w:ascii="Courier New" w:hAnsi="Courier New" w:cs="Courier New" w:hint="default"/>
      </w:rPr>
    </w:lvl>
    <w:lvl w:ilvl="5" w:tplc="40090005" w:tentative="1">
      <w:start w:val="1"/>
      <w:numFmt w:val="bullet"/>
      <w:lvlText w:val=""/>
      <w:lvlJc w:val="left"/>
      <w:pPr>
        <w:ind w:left="4538" w:hanging="360"/>
      </w:pPr>
      <w:rPr>
        <w:rFonts w:ascii="Wingdings" w:hAnsi="Wingdings" w:hint="default"/>
      </w:rPr>
    </w:lvl>
    <w:lvl w:ilvl="6" w:tplc="40090001" w:tentative="1">
      <w:start w:val="1"/>
      <w:numFmt w:val="bullet"/>
      <w:lvlText w:val=""/>
      <w:lvlJc w:val="left"/>
      <w:pPr>
        <w:ind w:left="5258" w:hanging="360"/>
      </w:pPr>
      <w:rPr>
        <w:rFonts w:ascii="Symbol" w:hAnsi="Symbol" w:hint="default"/>
      </w:rPr>
    </w:lvl>
    <w:lvl w:ilvl="7" w:tplc="40090003" w:tentative="1">
      <w:start w:val="1"/>
      <w:numFmt w:val="bullet"/>
      <w:lvlText w:val="o"/>
      <w:lvlJc w:val="left"/>
      <w:pPr>
        <w:ind w:left="5978" w:hanging="360"/>
      </w:pPr>
      <w:rPr>
        <w:rFonts w:ascii="Courier New" w:hAnsi="Courier New" w:cs="Courier New" w:hint="default"/>
      </w:rPr>
    </w:lvl>
    <w:lvl w:ilvl="8" w:tplc="40090005" w:tentative="1">
      <w:start w:val="1"/>
      <w:numFmt w:val="bullet"/>
      <w:lvlText w:val=""/>
      <w:lvlJc w:val="left"/>
      <w:pPr>
        <w:ind w:left="6698" w:hanging="360"/>
      </w:pPr>
      <w:rPr>
        <w:rFonts w:ascii="Wingdings" w:hAnsi="Wingdings" w:hint="default"/>
      </w:rPr>
    </w:lvl>
  </w:abstractNum>
  <w:abstractNum w:abstractNumId="22">
    <w:nsid w:val="535A6C0A"/>
    <w:multiLevelType w:val="multilevel"/>
    <w:tmpl w:val="9D766268"/>
    <w:lvl w:ilvl="0">
      <w:start w:val="1"/>
      <w:numFmt w:val="decimal"/>
      <w:pStyle w:val="Heading1"/>
      <w:lvlText w:val="%1"/>
      <w:lvlJc w:val="left"/>
      <w:pPr>
        <w:ind w:left="432" w:hanging="432"/>
      </w:pPr>
    </w:lvl>
    <w:lvl w:ilvl="1">
      <w:start w:val="1"/>
      <w:numFmt w:val="decimal"/>
      <w:pStyle w:val="Heading2"/>
      <w:lvlText w:val="%1.%2"/>
      <w:lvlJc w:val="left"/>
      <w:pPr>
        <w:ind w:left="6530"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nsid w:val="5BBC077A"/>
    <w:multiLevelType w:val="hybridMultilevel"/>
    <w:tmpl w:val="220EE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18E52EA"/>
    <w:multiLevelType w:val="multilevel"/>
    <w:tmpl w:val="920A2BEE"/>
    <w:lvl w:ilvl="0">
      <w:start w:val="1"/>
      <w:numFmt w:val="decimal"/>
      <w:lvlText w:val="%1."/>
      <w:lvlJc w:val="left"/>
      <w:pPr>
        <w:ind w:left="432" w:hanging="432"/>
      </w:pPr>
      <w:rPr>
        <w:rFonts w:hint="default"/>
        <w:b w:val="0"/>
        <w:i w:val="0"/>
        <w:sz w:val="24"/>
        <w:szCs w:val="20"/>
      </w:rPr>
    </w:lvl>
    <w:lvl w:ilvl="1">
      <w:start w:val="1"/>
      <w:numFmt w:val="lowerLetter"/>
      <w:lvlText w:val="(%2)"/>
      <w:lvlJc w:val="left"/>
      <w:pPr>
        <w:ind w:left="1427" w:hanging="576"/>
      </w:pPr>
      <w:rPr>
        <w:rFonts w:ascii="Times New Roman" w:eastAsia="Times New Roman" w:hAnsi="Times New Roman" w:cs="Times New Roman"/>
        <w:b w:val="0"/>
        <w:i w:val="0"/>
        <w:color w:val="auto"/>
        <w:sz w:val="24"/>
        <w:szCs w:val="24"/>
      </w:rPr>
    </w:lvl>
    <w:lvl w:ilvl="2">
      <w:start w:val="1"/>
      <w:numFmt w:val="decimal"/>
      <w:lvlText w:val="%1.%2.%3"/>
      <w:lvlJc w:val="left"/>
      <w:pPr>
        <w:ind w:left="720" w:hanging="720"/>
      </w:pPr>
      <w:rPr>
        <w:b/>
        <w:i w:val="0"/>
        <w:sz w:val="24"/>
      </w:rPr>
    </w:lvl>
    <w:lvl w:ilvl="3">
      <w:start w:val="1"/>
      <w:numFmt w:val="decimal"/>
      <w:lvlText w:val="%1.%2.%3.%4"/>
      <w:lvlJc w:val="left"/>
      <w:pPr>
        <w:ind w:left="864" w:hanging="864"/>
      </w:pPr>
      <w:rPr>
        <w:b/>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61DA43AC"/>
    <w:multiLevelType w:val="multilevel"/>
    <w:tmpl w:val="920A2BEE"/>
    <w:lvl w:ilvl="0">
      <w:start w:val="1"/>
      <w:numFmt w:val="decimal"/>
      <w:lvlText w:val="%1."/>
      <w:lvlJc w:val="left"/>
      <w:pPr>
        <w:ind w:left="432" w:hanging="432"/>
      </w:pPr>
      <w:rPr>
        <w:rFonts w:hint="default"/>
        <w:b w:val="0"/>
        <w:i w:val="0"/>
        <w:sz w:val="24"/>
        <w:szCs w:val="20"/>
      </w:rPr>
    </w:lvl>
    <w:lvl w:ilvl="1">
      <w:start w:val="1"/>
      <w:numFmt w:val="lowerLetter"/>
      <w:lvlText w:val="(%2)"/>
      <w:lvlJc w:val="left"/>
      <w:pPr>
        <w:ind w:left="1427" w:hanging="576"/>
      </w:pPr>
      <w:rPr>
        <w:rFonts w:ascii="Times New Roman" w:eastAsia="Times New Roman" w:hAnsi="Times New Roman" w:cs="Times New Roman"/>
        <w:b w:val="0"/>
        <w:i w:val="0"/>
        <w:color w:val="auto"/>
        <w:sz w:val="24"/>
        <w:szCs w:val="24"/>
      </w:rPr>
    </w:lvl>
    <w:lvl w:ilvl="2">
      <w:start w:val="1"/>
      <w:numFmt w:val="decimal"/>
      <w:lvlText w:val="%1.%2.%3"/>
      <w:lvlJc w:val="left"/>
      <w:pPr>
        <w:ind w:left="720" w:hanging="720"/>
      </w:pPr>
      <w:rPr>
        <w:b/>
        <w:i w:val="0"/>
        <w:sz w:val="24"/>
      </w:rPr>
    </w:lvl>
    <w:lvl w:ilvl="3">
      <w:start w:val="1"/>
      <w:numFmt w:val="decimal"/>
      <w:lvlText w:val="%1.%2.%3.%4"/>
      <w:lvlJc w:val="left"/>
      <w:pPr>
        <w:ind w:left="864" w:hanging="864"/>
      </w:pPr>
      <w:rPr>
        <w:b/>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636568ED"/>
    <w:multiLevelType w:val="multilevel"/>
    <w:tmpl w:val="80A248C8"/>
    <w:styleLink w:val="Style2"/>
    <w:lvl w:ilvl="0">
      <w:start w:val="1"/>
      <w:numFmt w:val="decimal"/>
      <w:lvlText w:val="A%1."/>
      <w:lvlJc w:val="left"/>
      <w:pPr>
        <w:ind w:left="702" w:hanging="432"/>
      </w:pPr>
      <w:rPr>
        <w:rFonts w:hint="default"/>
        <w:i w:val="0"/>
        <w:sz w:val="24"/>
        <w:szCs w:val="20"/>
      </w:rPr>
    </w:lvl>
    <w:lvl w:ilvl="1">
      <w:start w:val="1"/>
      <w:numFmt w:val="decimal"/>
      <w:lvlText w:val="1.%2."/>
      <w:lvlJc w:val="left"/>
      <w:pPr>
        <w:ind w:left="666" w:hanging="576"/>
      </w:pPr>
      <w:rPr>
        <w:rFonts w:ascii="Times New Roman" w:eastAsia="Calibri" w:hAnsi="Times New Roman" w:cs="Times New Roman" w:hint="default"/>
        <w:b w:val="0"/>
        <w:i w:val="0"/>
        <w:color w:val="auto"/>
        <w:sz w:val="24"/>
        <w:szCs w:val="24"/>
      </w:rPr>
    </w:lvl>
    <w:lvl w:ilvl="2">
      <w:start w:val="1"/>
      <w:numFmt w:val="decimal"/>
      <w:lvlText w:val="%1.%2.%3"/>
      <w:lvlJc w:val="left"/>
      <w:pPr>
        <w:ind w:left="720" w:hanging="720"/>
      </w:pPr>
      <w:rPr>
        <w:rFonts w:ascii="Book Antiqua" w:hAnsi="Book Antiqua" w:hint="default"/>
        <w:b w:val="0"/>
        <w:i w:val="0"/>
        <w:sz w:val="22"/>
        <w:szCs w:val="22"/>
      </w:rPr>
    </w:lvl>
    <w:lvl w:ilvl="3">
      <w:start w:val="1"/>
      <w:numFmt w:val="decimal"/>
      <w:lvlText w:val="%1.%2.%3.%4"/>
      <w:lvlJc w:val="left"/>
      <w:pPr>
        <w:ind w:left="864" w:hanging="864"/>
      </w:pPr>
      <w:rPr>
        <w:rFonts w:hint="default"/>
        <w:b/>
        <w:i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nsid w:val="6525130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nsid w:val="67690350"/>
    <w:multiLevelType w:val="hybridMultilevel"/>
    <w:tmpl w:val="91305B2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A312F27"/>
    <w:multiLevelType w:val="hybridMultilevel"/>
    <w:tmpl w:val="9F585EB6"/>
    <w:lvl w:ilvl="0" w:tplc="8FFEAA8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CA547B2"/>
    <w:multiLevelType w:val="hybridMultilevel"/>
    <w:tmpl w:val="147C3588"/>
    <w:lvl w:ilvl="0" w:tplc="363877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F70E0F"/>
    <w:multiLevelType w:val="multilevel"/>
    <w:tmpl w:val="920A2BEE"/>
    <w:lvl w:ilvl="0">
      <w:start w:val="1"/>
      <w:numFmt w:val="decimal"/>
      <w:lvlText w:val="%1."/>
      <w:lvlJc w:val="left"/>
      <w:pPr>
        <w:ind w:left="432" w:hanging="432"/>
      </w:pPr>
      <w:rPr>
        <w:rFonts w:hint="default"/>
        <w:b w:val="0"/>
        <w:i w:val="0"/>
        <w:sz w:val="24"/>
        <w:szCs w:val="20"/>
      </w:rPr>
    </w:lvl>
    <w:lvl w:ilvl="1">
      <w:start w:val="1"/>
      <w:numFmt w:val="lowerLetter"/>
      <w:lvlText w:val="(%2)"/>
      <w:lvlJc w:val="left"/>
      <w:pPr>
        <w:ind w:left="1427" w:hanging="576"/>
      </w:pPr>
      <w:rPr>
        <w:rFonts w:ascii="Times New Roman" w:eastAsia="Times New Roman" w:hAnsi="Times New Roman" w:cs="Times New Roman"/>
        <w:b w:val="0"/>
        <w:i w:val="0"/>
        <w:color w:val="auto"/>
        <w:sz w:val="24"/>
        <w:szCs w:val="24"/>
      </w:rPr>
    </w:lvl>
    <w:lvl w:ilvl="2">
      <w:start w:val="1"/>
      <w:numFmt w:val="decimal"/>
      <w:lvlText w:val="%1.%2.%3"/>
      <w:lvlJc w:val="left"/>
      <w:pPr>
        <w:ind w:left="720" w:hanging="720"/>
      </w:pPr>
      <w:rPr>
        <w:b/>
        <w:i w:val="0"/>
        <w:sz w:val="24"/>
      </w:rPr>
    </w:lvl>
    <w:lvl w:ilvl="3">
      <w:start w:val="1"/>
      <w:numFmt w:val="decimal"/>
      <w:lvlText w:val="%1.%2.%3.%4"/>
      <w:lvlJc w:val="left"/>
      <w:pPr>
        <w:ind w:left="864" w:hanging="864"/>
      </w:pPr>
      <w:rPr>
        <w:b/>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nsid w:val="6DEF333F"/>
    <w:multiLevelType w:val="multilevel"/>
    <w:tmpl w:val="920A2BEE"/>
    <w:lvl w:ilvl="0">
      <w:start w:val="1"/>
      <w:numFmt w:val="decimal"/>
      <w:lvlText w:val="%1."/>
      <w:lvlJc w:val="left"/>
      <w:pPr>
        <w:ind w:left="432" w:hanging="432"/>
      </w:pPr>
      <w:rPr>
        <w:rFonts w:hint="default"/>
        <w:b w:val="0"/>
        <w:i w:val="0"/>
        <w:sz w:val="24"/>
        <w:szCs w:val="20"/>
      </w:rPr>
    </w:lvl>
    <w:lvl w:ilvl="1">
      <w:start w:val="1"/>
      <w:numFmt w:val="lowerLetter"/>
      <w:lvlText w:val="(%2)"/>
      <w:lvlJc w:val="left"/>
      <w:pPr>
        <w:ind w:left="1427" w:hanging="576"/>
      </w:pPr>
      <w:rPr>
        <w:rFonts w:ascii="Times New Roman" w:eastAsia="Times New Roman" w:hAnsi="Times New Roman" w:cs="Times New Roman"/>
        <w:b w:val="0"/>
        <w:i w:val="0"/>
        <w:color w:val="auto"/>
        <w:sz w:val="24"/>
        <w:szCs w:val="24"/>
      </w:rPr>
    </w:lvl>
    <w:lvl w:ilvl="2">
      <w:start w:val="1"/>
      <w:numFmt w:val="decimal"/>
      <w:lvlText w:val="%1.%2.%3"/>
      <w:lvlJc w:val="left"/>
      <w:pPr>
        <w:ind w:left="720" w:hanging="720"/>
      </w:pPr>
      <w:rPr>
        <w:b/>
        <w:i w:val="0"/>
        <w:sz w:val="24"/>
      </w:rPr>
    </w:lvl>
    <w:lvl w:ilvl="3">
      <w:start w:val="1"/>
      <w:numFmt w:val="decimal"/>
      <w:lvlText w:val="%1.%2.%3.%4"/>
      <w:lvlJc w:val="left"/>
      <w:pPr>
        <w:ind w:left="864" w:hanging="864"/>
      </w:pPr>
      <w:rPr>
        <w:b/>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nsid w:val="6DF22895"/>
    <w:multiLevelType w:val="multilevel"/>
    <w:tmpl w:val="2B5EFE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nsid w:val="74675B1B"/>
    <w:multiLevelType w:val="multilevel"/>
    <w:tmpl w:val="920A2BEE"/>
    <w:lvl w:ilvl="0">
      <w:start w:val="1"/>
      <w:numFmt w:val="decimal"/>
      <w:lvlText w:val="%1."/>
      <w:lvlJc w:val="left"/>
      <w:pPr>
        <w:ind w:left="432" w:hanging="432"/>
      </w:pPr>
      <w:rPr>
        <w:rFonts w:hint="default"/>
        <w:b w:val="0"/>
        <w:i w:val="0"/>
        <w:sz w:val="24"/>
        <w:szCs w:val="20"/>
      </w:rPr>
    </w:lvl>
    <w:lvl w:ilvl="1">
      <w:start w:val="1"/>
      <w:numFmt w:val="lowerLetter"/>
      <w:lvlText w:val="(%2)"/>
      <w:lvlJc w:val="left"/>
      <w:pPr>
        <w:ind w:left="1427" w:hanging="576"/>
      </w:pPr>
      <w:rPr>
        <w:rFonts w:ascii="Times New Roman" w:eastAsia="Times New Roman" w:hAnsi="Times New Roman" w:cs="Times New Roman"/>
        <w:b w:val="0"/>
        <w:i w:val="0"/>
        <w:color w:val="auto"/>
        <w:sz w:val="24"/>
        <w:szCs w:val="24"/>
      </w:rPr>
    </w:lvl>
    <w:lvl w:ilvl="2">
      <w:start w:val="1"/>
      <w:numFmt w:val="decimal"/>
      <w:lvlText w:val="%1.%2.%3"/>
      <w:lvlJc w:val="left"/>
      <w:pPr>
        <w:ind w:left="720" w:hanging="720"/>
      </w:pPr>
      <w:rPr>
        <w:b/>
        <w:i w:val="0"/>
        <w:sz w:val="24"/>
      </w:rPr>
    </w:lvl>
    <w:lvl w:ilvl="3">
      <w:start w:val="1"/>
      <w:numFmt w:val="decimal"/>
      <w:lvlText w:val="%1.%2.%3.%4"/>
      <w:lvlJc w:val="left"/>
      <w:pPr>
        <w:ind w:left="864" w:hanging="864"/>
      </w:pPr>
      <w:rPr>
        <w:b/>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nsid w:val="76464012"/>
    <w:multiLevelType w:val="multilevel"/>
    <w:tmpl w:val="920A2BEE"/>
    <w:lvl w:ilvl="0">
      <w:start w:val="1"/>
      <w:numFmt w:val="decimal"/>
      <w:lvlText w:val="%1."/>
      <w:lvlJc w:val="left"/>
      <w:pPr>
        <w:ind w:left="432" w:hanging="432"/>
      </w:pPr>
      <w:rPr>
        <w:rFonts w:hint="default"/>
        <w:b w:val="0"/>
        <w:i w:val="0"/>
        <w:sz w:val="24"/>
        <w:szCs w:val="20"/>
      </w:rPr>
    </w:lvl>
    <w:lvl w:ilvl="1">
      <w:start w:val="1"/>
      <w:numFmt w:val="lowerLetter"/>
      <w:lvlText w:val="(%2)"/>
      <w:lvlJc w:val="left"/>
      <w:pPr>
        <w:ind w:left="1427" w:hanging="576"/>
      </w:pPr>
      <w:rPr>
        <w:rFonts w:ascii="Times New Roman" w:eastAsia="Times New Roman" w:hAnsi="Times New Roman" w:cs="Times New Roman"/>
        <w:b w:val="0"/>
        <w:i w:val="0"/>
        <w:color w:val="auto"/>
        <w:sz w:val="24"/>
        <w:szCs w:val="24"/>
      </w:rPr>
    </w:lvl>
    <w:lvl w:ilvl="2">
      <w:start w:val="1"/>
      <w:numFmt w:val="decimal"/>
      <w:lvlText w:val="%1.%2.%3"/>
      <w:lvlJc w:val="left"/>
      <w:pPr>
        <w:ind w:left="720" w:hanging="720"/>
      </w:pPr>
      <w:rPr>
        <w:b/>
        <w:i w:val="0"/>
        <w:sz w:val="24"/>
      </w:rPr>
    </w:lvl>
    <w:lvl w:ilvl="3">
      <w:start w:val="1"/>
      <w:numFmt w:val="decimal"/>
      <w:lvlText w:val="%1.%2.%3.%4"/>
      <w:lvlJc w:val="left"/>
      <w:pPr>
        <w:ind w:left="864" w:hanging="864"/>
      </w:pPr>
      <w:rPr>
        <w:b/>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nsid w:val="7AE738C6"/>
    <w:multiLevelType w:val="hybridMultilevel"/>
    <w:tmpl w:val="83B41E98"/>
    <w:lvl w:ilvl="0" w:tplc="40090001">
      <w:start w:val="1"/>
      <w:numFmt w:val="bullet"/>
      <w:lvlText w:val=""/>
      <w:lvlJc w:val="left"/>
      <w:pPr>
        <w:ind w:left="938" w:hanging="360"/>
      </w:pPr>
      <w:rPr>
        <w:rFonts w:ascii="Symbol" w:hAnsi="Symbol" w:hint="default"/>
      </w:rPr>
    </w:lvl>
    <w:lvl w:ilvl="1" w:tplc="40090003" w:tentative="1">
      <w:start w:val="1"/>
      <w:numFmt w:val="bullet"/>
      <w:lvlText w:val="o"/>
      <w:lvlJc w:val="left"/>
      <w:pPr>
        <w:ind w:left="1658" w:hanging="360"/>
      </w:pPr>
      <w:rPr>
        <w:rFonts w:ascii="Courier New" w:hAnsi="Courier New" w:cs="Courier New" w:hint="default"/>
      </w:rPr>
    </w:lvl>
    <w:lvl w:ilvl="2" w:tplc="40090005" w:tentative="1">
      <w:start w:val="1"/>
      <w:numFmt w:val="bullet"/>
      <w:lvlText w:val=""/>
      <w:lvlJc w:val="left"/>
      <w:pPr>
        <w:ind w:left="2378" w:hanging="360"/>
      </w:pPr>
      <w:rPr>
        <w:rFonts w:ascii="Wingdings" w:hAnsi="Wingdings" w:hint="default"/>
      </w:rPr>
    </w:lvl>
    <w:lvl w:ilvl="3" w:tplc="40090001" w:tentative="1">
      <w:start w:val="1"/>
      <w:numFmt w:val="bullet"/>
      <w:lvlText w:val=""/>
      <w:lvlJc w:val="left"/>
      <w:pPr>
        <w:ind w:left="3098" w:hanging="360"/>
      </w:pPr>
      <w:rPr>
        <w:rFonts w:ascii="Symbol" w:hAnsi="Symbol" w:hint="default"/>
      </w:rPr>
    </w:lvl>
    <w:lvl w:ilvl="4" w:tplc="40090003" w:tentative="1">
      <w:start w:val="1"/>
      <w:numFmt w:val="bullet"/>
      <w:lvlText w:val="o"/>
      <w:lvlJc w:val="left"/>
      <w:pPr>
        <w:ind w:left="3818" w:hanging="360"/>
      </w:pPr>
      <w:rPr>
        <w:rFonts w:ascii="Courier New" w:hAnsi="Courier New" w:cs="Courier New" w:hint="default"/>
      </w:rPr>
    </w:lvl>
    <w:lvl w:ilvl="5" w:tplc="40090005" w:tentative="1">
      <w:start w:val="1"/>
      <w:numFmt w:val="bullet"/>
      <w:lvlText w:val=""/>
      <w:lvlJc w:val="left"/>
      <w:pPr>
        <w:ind w:left="4538" w:hanging="360"/>
      </w:pPr>
      <w:rPr>
        <w:rFonts w:ascii="Wingdings" w:hAnsi="Wingdings" w:hint="default"/>
      </w:rPr>
    </w:lvl>
    <w:lvl w:ilvl="6" w:tplc="40090001" w:tentative="1">
      <w:start w:val="1"/>
      <w:numFmt w:val="bullet"/>
      <w:lvlText w:val=""/>
      <w:lvlJc w:val="left"/>
      <w:pPr>
        <w:ind w:left="5258" w:hanging="360"/>
      </w:pPr>
      <w:rPr>
        <w:rFonts w:ascii="Symbol" w:hAnsi="Symbol" w:hint="default"/>
      </w:rPr>
    </w:lvl>
    <w:lvl w:ilvl="7" w:tplc="40090003" w:tentative="1">
      <w:start w:val="1"/>
      <w:numFmt w:val="bullet"/>
      <w:lvlText w:val="o"/>
      <w:lvlJc w:val="left"/>
      <w:pPr>
        <w:ind w:left="5978" w:hanging="360"/>
      </w:pPr>
      <w:rPr>
        <w:rFonts w:ascii="Courier New" w:hAnsi="Courier New" w:cs="Courier New" w:hint="default"/>
      </w:rPr>
    </w:lvl>
    <w:lvl w:ilvl="8" w:tplc="40090005" w:tentative="1">
      <w:start w:val="1"/>
      <w:numFmt w:val="bullet"/>
      <w:lvlText w:val=""/>
      <w:lvlJc w:val="left"/>
      <w:pPr>
        <w:ind w:left="6698" w:hanging="360"/>
      </w:pPr>
      <w:rPr>
        <w:rFonts w:ascii="Wingdings" w:hAnsi="Wingdings" w:hint="default"/>
      </w:rPr>
    </w:lvl>
  </w:abstractNum>
  <w:abstractNum w:abstractNumId="37">
    <w:nsid w:val="7E3D4871"/>
    <w:multiLevelType w:val="hybridMultilevel"/>
    <w:tmpl w:val="3E0A95F2"/>
    <w:lvl w:ilvl="0" w:tplc="F5F8ADD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
  </w:num>
  <w:num w:numId="3">
    <w:abstractNumId w:val="13"/>
  </w:num>
  <w:num w:numId="4">
    <w:abstractNumId w:val="7"/>
  </w:num>
  <w:num w:numId="5">
    <w:abstractNumId w:val="26"/>
  </w:num>
  <w:num w:numId="6">
    <w:abstractNumId w:val="3"/>
  </w:num>
  <w:num w:numId="7">
    <w:abstractNumId w:val="17"/>
  </w:num>
  <w:num w:numId="8">
    <w:abstractNumId w:val="20"/>
  </w:num>
  <w:num w:numId="9">
    <w:abstractNumId w:val="22"/>
  </w:num>
  <w:num w:numId="10">
    <w:abstractNumId w:val="32"/>
  </w:num>
  <w:num w:numId="11">
    <w:abstractNumId w:val="14"/>
  </w:num>
  <w:num w:numId="12">
    <w:abstractNumId w:val="25"/>
  </w:num>
  <w:num w:numId="13">
    <w:abstractNumId w:val="34"/>
  </w:num>
  <w:num w:numId="14">
    <w:abstractNumId w:val="27"/>
  </w:num>
  <w:num w:numId="15">
    <w:abstractNumId w:val="5"/>
  </w:num>
  <w:num w:numId="16">
    <w:abstractNumId w:val="16"/>
  </w:num>
  <w:num w:numId="17">
    <w:abstractNumId w:val="23"/>
  </w:num>
  <w:num w:numId="18">
    <w:abstractNumId w:val="10"/>
  </w:num>
  <w:num w:numId="19">
    <w:abstractNumId w:val="24"/>
  </w:num>
  <w:num w:numId="20">
    <w:abstractNumId w:val="0"/>
  </w:num>
  <w:num w:numId="21">
    <w:abstractNumId w:val="37"/>
  </w:num>
  <w:num w:numId="22">
    <w:abstractNumId w:val="18"/>
  </w:num>
  <w:num w:numId="23">
    <w:abstractNumId w:val="31"/>
  </w:num>
  <w:num w:numId="24">
    <w:abstractNumId w:val="12"/>
  </w:num>
  <w:num w:numId="25">
    <w:abstractNumId w:val="29"/>
  </w:num>
  <w:num w:numId="26">
    <w:abstractNumId w:val="4"/>
  </w:num>
  <w:num w:numId="27">
    <w:abstractNumId w:val="9"/>
  </w:num>
  <w:num w:numId="28">
    <w:abstractNumId w:val="11"/>
  </w:num>
  <w:num w:numId="29">
    <w:abstractNumId w:val="33"/>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6"/>
  </w:num>
  <w:num w:numId="37">
    <w:abstractNumId w:val="30"/>
  </w:num>
  <w:num w:numId="38">
    <w:abstractNumId w:val="22"/>
  </w:num>
  <w:num w:numId="39">
    <w:abstractNumId w:val="22"/>
  </w:num>
  <w:num w:numId="40">
    <w:abstractNumId w:val="22"/>
  </w:num>
  <w:num w:numId="41">
    <w:abstractNumId w:val="28"/>
  </w:num>
  <w:num w:numId="42">
    <w:abstractNumId w:val="19"/>
  </w:num>
  <w:num w:numId="43">
    <w:abstractNumId w:val="22"/>
  </w:num>
  <w:num w:numId="44">
    <w:abstractNumId w:val="21"/>
  </w:num>
  <w:num w:numId="45">
    <w:abstractNumId w:val="36"/>
  </w:num>
  <w:num w:numId="46">
    <w:abstractNumId w:val="1"/>
  </w:num>
  <w:num w:numId="47">
    <w:abstractNumId w:val="35"/>
  </w:num>
  <w:num w:numId="48">
    <w:abstractNumId w:val="8"/>
  </w:num>
  <w:num w:numId="49">
    <w:abstractNumId w:val="22"/>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trackRevisions/>
  <w:doNotTrackFormatting/>
  <w:defaultTabStop w:val="720"/>
  <w:drawingGridHorizontalSpacing w:val="110"/>
  <w:displayHorizontalDrawingGridEvery w:val="2"/>
  <w:characterSpacingControl w:val="doNotCompress"/>
  <w:hdrShapeDefaults>
    <o:shapedefaults v:ext="edit" spidmax="16385"/>
  </w:hdrShapeDefaults>
  <w:footnotePr>
    <w:footnote w:id="0"/>
    <w:footnote w:id="1"/>
  </w:footnotePr>
  <w:endnotePr>
    <w:endnote w:id="0"/>
    <w:endnote w:id="1"/>
  </w:endnotePr>
  <w:compat/>
  <w:rsids>
    <w:rsidRoot w:val="0041746D"/>
    <w:rsid w:val="000003E7"/>
    <w:rsid w:val="0000048C"/>
    <w:rsid w:val="000005AB"/>
    <w:rsid w:val="00001219"/>
    <w:rsid w:val="00002513"/>
    <w:rsid w:val="00002D06"/>
    <w:rsid w:val="000035CE"/>
    <w:rsid w:val="00004013"/>
    <w:rsid w:val="00004230"/>
    <w:rsid w:val="00004382"/>
    <w:rsid w:val="00004B5C"/>
    <w:rsid w:val="000052E5"/>
    <w:rsid w:val="00005595"/>
    <w:rsid w:val="00005618"/>
    <w:rsid w:val="00005868"/>
    <w:rsid w:val="00005925"/>
    <w:rsid w:val="0000630B"/>
    <w:rsid w:val="0000682D"/>
    <w:rsid w:val="00007A94"/>
    <w:rsid w:val="00007FDB"/>
    <w:rsid w:val="00010B86"/>
    <w:rsid w:val="00010E51"/>
    <w:rsid w:val="00010F3B"/>
    <w:rsid w:val="00011D96"/>
    <w:rsid w:val="00011E6A"/>
    <w:rsid w:val="0001203E"/>
    <w:rsid w:val="000122EB"/>
    <w:rsid w:val="00012791"/>
    <w:rsid w:val="000134DA"/>
    <w:rsid w:val="0001353D"/>
    <w:rsid w:val="00013DE1"/>
    <w:rsid w:val="0001410F"/>
    <w:rsid w:val="000143D7"/>
    <w:rsid w:val="00014972"/>
    <w:rsid w:val="00015000"/>
    <w:rsid w:val="000155B1"/>
    <w:rsid w:val="00015ABA"/>
    <w:rsid w:val="00015F3C"/>
    <w:rsid w:val="00015FAC"/>
    <w:rsid w:val="00015FD3"/>
    <w:rsid w:val="0001627B"/>
    <w:rsid w:val="00016508"/>
    <w:rsid w:val="000166E4"/>
    <w:rsid w:val="000176C4"/>
    <w:rsid w:val="00017A5F"/>
    <w:rsid w:val="00017F2B"/>
    <w:rsid w:val="00020EF0"/>
    <w:rsid w:val="00020F5B"/>
    <w:rsid w:val="00021087"/>
    <w:rsid w:val="00021365"/>
    <w:rsid w:val="00021BB5"/>
    <w:rsid w:val="00021D81"/>
    <w:rsid w:val="00021E6F"/>
    <w:rsid w:val="00022325"/>
    <w:rsid w:val="0002286E"/>
    <w:rsid w:val="00022A28"/>
    <w:rsid w:val="0002319C"/>
    <w:rsid w:val="000232EF"/>
    <w:rsid w:val="00023A67"/>
    <w:rsid w:val="00023A6A"/>
    <w:rsid w:val="00023B57"/>
    <w:rsid w:val="00023C48"/>
    <w:rsid w:val="00023E51"/>
    <w:rsid w:val="0002499D"/>
    <w:rsid w:val="000249F6"/>
    <w:rsid w:val="00024CCC"/>
    <w:rsid w:val="00024D9D"/>
    <w:rsid w:val="00025A8D"/>
    <w:rsid w:val="00025BD0"/>
    <w:rsid w:val="00025FBC"/>
    <w:rsid w:val="000262E5"/>
    <w:rsid w:val="000264C2"/>
    <w:rsid w:val="00026FD5"/>
    <w:rsid w:val="0002714D"/>
    <w:rsid w:val="000274E3"/>
    <w:rsid w:val="00027638"/>
    <w:rsid w:val="0002776C"/>
    <w:rsid w:val="00027B7D"/>
    <w:rsid w:val="00027BE9"/>
    <w:rsid w:val="00030293"/>
    <w:rsid w:val="000320D3"/>
    <w:rsid w:val="0003216E"/>
    <w:rsid w:val="00032186"/>
    <w:rsid w:val="000328EC"/>
    <w:rsid w:val="00032CFA"/>
    <w:rsid w:val="0003336A"/>
    <w:rsid w:val="00033543"/>
    <w:rsid w:val="0003460C"/>
    <w:rsid w:val="00034819"/>
    <w:rsid w:val="000349A4"/>
    <w:rsid w:val="00034A92"/>
    <w:rsid w:val="00034B84"/>
    <w:rsid w:val="00034D2E"/>
    <w:rsid w:val="000357A1"/>
    <w:rsid w:val="00035914"/>
    <w:rsid w:val="000366D5"/>
    <w:rsid w:val="00036CCE"/>
    <w:rsid w:val="00037462"/>
    <w:rsid w:val="00037BE5"/>
    <w:rsid w:val="00037CA3"/>
    <w:rsid w:val="00037CC4"/>
    <w:rsid w:val="00040018"/>
    <w:rsid w:val="0004046E"/>
    <w:rsid w:val="00040E15"/>
    <w:rsid w:val="00041147"/>
    <w:rsid w:val="00041496"/>
    <w:rsid w:val="000418C5"/>
    <w:rsid w:val="00041B17"/>
    <w:rsid w:val="0004204D"/>
    <w:rsid w:val="00042487"/>
    <w:rsid w:val="00042781"/>
    <w:rsid w:val="00042D01"/>
    <w:rsid w:val="00042E54"/>
    <w:rsid w:val="000430D9"/>
    <w:rsid w:val="00043229"/>
    <w:rsid w:val="0004420B"/>
    <w:rsid w:val="00044276"/>
    <w:rsid w:val="00044506"/>
    <w:rsid w:val="000447EC"/>
    <w:rsid w:val="00044811"/>
    <w:rsid w:val="00045178"/>
    <w:rsid w:val="000454C1"/>
    <w:rsid w:val="00045F4F"/>
    <w:rsid w:val="000474D8"/>
    <w:rsid w:val="00047C5B"/>
    <w:rsid w:val="00047C5D"/>
    <w:rsid w:val="0005009D"/>
    <w:rsid w:val="00050532"/>
    <w:rsid w:val="00050EAE"/>
    <w:rsid w:val="0005136D"/>
    <w:rsid w:val="0005151F"/>
    <w:rsid w:val="0005152B"/>
    <w:rsid w:val="000529AC"/>
    <w:rsid w:val="00052C93"/>
    <w:rsid w:val="00052D5E"/>
    <w:rsid w:val="00053226"/>
    <w:rsid w:val="0005358D"/>
    <w:rsid w:val="000537E6"/>
    <w:rsid w:val="000543B4"/>
    <w:rsid w:val="000544D6"/>
    <w:rsid w:val="00054708"/>
    <w:rsid w:val="0005477A"/>
    <w:rsid w:val="0005493D"/>
    <w:rsid w:val="00056124"/>
    <w:rsid w:val="00056A9E"/>
    <w:rsid w:val="00056BD7"/>
    <w:rsid w:val="00056C30"/>
    <w:rsid w:val="00056FC1"/>
    <w:rsid w:val="00057576"/>
    <w:rsid w:val="00057737"/>
    <w:rsid w:val="000579AA"/>
    <w:rsid w:val="00057D7C"/>
    <w:rsid w:val="000602C9"/>
    <w:rsid w:val="00060CCF"/>
    <w:rsid w:val="00060D46"/>
    <w:rsid w:val="000610D1"/>
    <w:rsid w:val="0006175A"/>
    <w:rsid w:val="00061E1F"/>
    <w:rsid w:val="00061E7A"/>
    <w:rsid w:val="0006246A"/>
    <w:rsid w:val="000624F8"/>
    <w:rsid w:val="00062BF2"/>
    <w:rsid w:val="00062CF5"/>
    <w:rsid w:val="00063D70"/>
    <w:rsid w:val="00063DBC"/>
    <w:rsid w:val="00063F8C"/>
    <w:rsid w:val="00064945"/>
    <w:rsid w:val="00064C9F"/>
    <w:rsid w:val="00064E8A"/>
    <w:rsid w:val="000650F9"/>
    <w:rsid w:val="0006517A"/>
    <w:rsid w:val="0006528D"/>
    <w:rsid w:val="000658D3"/>
    <w:rsid w:val="00065AAF"/>
    <w:rsid w:val="00065EDE"/>
    <w:rsid w:val="0006670F"/>
    <w:rsid w:val="00066A52"/>
    <w:rsid w:val="0006701E"/>
    <w:rsid w:val="000671DA"/>
    <w:rsid w:val="00067236"/>
    <w:rsid w:val="000672D0"/>
    <w:rsid w:val="000673EB"/>
    <w:rsid w:val="000673F0"/>
    <w:rsid w:val="00067813"/>
    <w:rsid w:val="00067BD1"/>
    <w:rsid w:val="00067CDE"/>
    <w:rsid w:val="00067D3B"/>
    <w:rsid w:val="0007050C"/>
    <w:rsid w:val="00071132"/>
    <w:rsid w:val="0007121A"/>
    <w:rsid w:val="00071B58"/>
    <w:rsid w:val="00071BBC"/>
    <w:rsid w:val="00071C4A"/>
    <w:rsid w:val="00071E40"/>
    <w:rsid w:val="0007261A"/>
    <w:rsid w:val="00072665"/>
    <w:rsid w:val="000728C4"/>
    <w:rsid w:val="000729B1"/>
    <w:rsid w:val="00072B93"/>
    <w:rsid w:val="00072F06"/>
    <w:rsid w:val="00073189"/>
    <w:rsid w:val="000731A2"/>
    <w:rsid w:val="0007332B"/>
    <w:rsid w:val="000736B5"/>
    <w:rsid w:val="00073859"/>
    <w:rsid w:val="0007393B"/>
    <w:rsid w:val="00073D6F"/>
    <w:rsid w:val="00073D79"/>
    <w:rsid w:val="00073E19"/>
    <w:rsid w:val="00074232"/>
    <w:rsid w:val="00074819"/>
    <w:rsid w:val="00074836"/>
    <w:rsid w:val="00074967"/>
    <w:rsid w:val="00074FCE"/>
    <w:rsid w:val="00075671"/>
    <w:rsid w:val="0007628B"/>
    <w:rsid w:val="00076527"/>
    <w:rsid w:val="00076E88"/>
    <w:rsid w:val="00077037"/>
    <w:rsid w:val="00077094"/>
    <w:rsid w:val="000771BE"/>
    <w:rsid w:val="00077628"/>
    <w:rsid w:val="00077633"/>
    <w:rsid w:val="00077773"/>
    <w:rsid w:val="00077865"/>
    <w:rsid w:val="0007789C"/>
    <w:rsid w:val="000802E9"/>
    <w:rsid w:val="00080485"/>
    <w:rsid w:val="00080686"/>
    <w:rsid w:val="00080F91"/>
    <w:rsid w:val="000811AD"/>
    <w:rsid w:val="00081F90"/>
    <w:rsid w:val="00081FCC"/>
    <w:rsid w:val="00082302"/>
    <w:rsid w:val="00082C5D"/>
    <w:rsid w:val="00082E24"/>
    <w:rsid w:val="00083306"/>
    <w:rsid w:val="00083617"/>
    <w:rsid w:val="000836A8"/>
    <w:rsid w:val="00084379"/>
    <w:rsid w:val="000844E9"/>
    <w:rsid w:val="00084E36"/>
    <w:rsid w:val="00085009"/>
    <w:rsid w:val="00085200"/>
    <w:rsid w:val="0008580C"/>
    <w:rsid w:val="000858AF"/>
    <w:rsid w:val="00085BC5"/>
    <w:rsid w:val="00085D29"/>
    <w:rsid w:val="0008636C"/>
    <w:rsid w:val="000863C9"/>
    <w:rsid w:val="0008645C"/>
    <w:rsid w:val="0008704B"/>
    <w:rsid w:val="00087439"/>
    <w:rsid w:val="0008755C"/>
    <w:rsid w:val="00087615"/>
    <w:rsid w:val="00087B5B"/>
    <w:rsid w:val="00091431"/>
    <w:rsid w:val="00091466"/>
    <w:rsid w:val="00091638"/>
    <w:rsid w:val="00091859"/>
    <w:rsid w:val="0009194B"/>
    <w:rsid w:val="00092431"/>
    <w:rsid w:val="0009280D"/>
    <w:rsid w:val="00092E55"/>
    <w:rsid w:val="0009303A"/>
    <w:rsid w:val="0009386E"/>
    <w:rsid w:val="000938B7"/>
    <w:rsid w:val="00093A52"/>
    <w:rsid w:val="000947DF"/>
    <w:rsid w:val="0009483F"/>
    <w:rsid w:val="00094A44"/>
    <w:rsid w:val="00094C57"/>
    <w:rsid w:val="00094FF6"/>
    <w:rsid w:val="000950E7"/>
    <w:rsid w:val="00095200"/>
    <w:rsid w:val="00095EA9"/>
    <w:rsid w:val="00095FD5"/>
    <w:rsid w:val="00096258"/>
    <w:rsid w:val="00096365"/>
    <w:rsid w:val="0009693C"/>
    <w:rsid w:val="00096BE8"/>
    <w:rsid w:val="00096C2C"/>
    <w:rsid w:val="00096CD2"/>
    <w:rsid w:val="00097004"/>
    <w:rsid w:val="0009706A"/>
    <w:rsid w:val="000970B6"/>
    <w:rsid w:val="0009776D"/>
    <w:rsid w:val="00097FCC"/>
    <w:rsid w:val="000A022F"/>
    <w:rsid w:val="000A0975"/>
    <w:rsid w:val="000A0E7B"/>
    <w:rsid w:val="000A11A2"/>
    <w:rsid w:val="000A1223"/>
    <w:rsid w:val="000A1365"/>
    <w:rsid w:val="000A1586"/>
    <w:rsid w:val="000A184F"/>
    <w:rsid w:val="000A18D7"/>
    <w:rsid w:val="000A19D5"/>
    <w:rsid w:val="000A1C17"/>
    <w:rsid w:val="000A1C2E"/>
    <w:rsid w:val="000A1EA8"/>
    <w:rsid w:val="000A22F3"/>
    <w:rsid w:val="000A2995"/>
    <w:rsid w:val="000A3636"/>
    <w:rsid w:val="000A385D"/>
    <w:rsid w:val="000A3999"/>
    <w:rsid w:val="000A3A5F"/>
    <w:rsid w:val="000A3B44"/>
    <w:rsid w:val="000A3C8F"/>
    <w:rsid w:val="000A40E1"/>
    <w:rsid w:val="000A4494"/>
    <w:rsid w:val="000A44AC"/>
    <w:rsid w:val="000A4EE0"/>
    <w:rsid w:val="000A5103"/>
    <w:rsid w:val="000A52B4"/>
    <w:rsid w:val="000A536F"/>
    <w:rsid w:val="000A58F4"/>
    <w:rsid w:val="000A5B1A"/>
    <w:rsid w:val="000A61E2"/>
    <w:rsid w:val="000A63EA"/>
    <w:rsid w:val="000A65A4"/>
    <w:rsid w:val="000A65B1"/>
    <w:rsid w:val="000A6A1D"/>
    <w:rsid w:val="000A6D69"/>
    <w:rsid w:val="000A6DEA"/>
    <w:rsid w:val="000A70C0"/>
    <w:rsid w:val="000A70F9"/>
    <w:rsid w:val="000A73C0"/>
    <w:rsid w:val="000A769E"/>
    <w:rsid w:val="000A799E"/>
    <w:rsid w:val="000B021A"/>
    <w:rsid w:val="000B040E"/>
    <w:rsid w:val="000B1923"/>
    <w:rsid w:val="000B1C7D"/>
    <w:rsid w:val="000B1C8B"/>
    <w:rsid w:val="000B1D5F"/>
    <w:rsid w:val="000B20D8"/>
    <w:rsid w:val="000B212A"/>
    <w:rsid w:val="000B2851"/>
    <w:rsid w:val="000B3054"/>
    <w:rsid w:val="000B31C9"/>
    <w:rsid w:val="000B31D0"/>
    <w:rsid w:val="000B3441"/>
    <w:rsid w:val="000B35A7"/>
    <w:rsid w:val="000B388C"/>
    <w:rsid w:val="000B3D72"/>
    <w:rsid w:val="000B3EBE"/>
    <w:rsid w:val="000B3ECF"/>
    <w:rsid w:val="000B3EF6"/>
    <w:rsid w:val="000B4041"/>
    <w:rsid w:val="000B4266"/>
    <w:rsid w:val="000B4726"/>
    <w:rsid w:val="000B4867"/>
    <w:rsid w:val="000B4CC7"/>
    <w:rsid w:val="000B53B6"/>
    <w:rsid w:val="000B5417"/>
    <w:rsid w:val="000B541B"/>
    <w:rsid w:val="000B54B9"/>
    <w:rsid w:val="000B5901"/>
    <w:rsid w:val="000B5BEC"/>
    <w:rsid w:val="000B5ECD"/>
    <w:rsid w:val="000B5F15"/>
    <w:rsid w:val="000B5FEB"/>
    <w:rsid w:val="000B6280"/>
    <w:rsid w:val="000B6AFD"/>
    <w:rsid w:val="000B6ECF"/>
    <w:rsid w:val="000B6F86"/>
    <w:rsid w:val="000B71E0"/>
    <w:rsid w:val="000B7528"/>
    <w:rsid w:val="000B78C8"/>
    <w:rsid w:val="000B7A00"/>
    <w:rsid w:val="000B7A35"/>
    <w:rsid w:val="000B7BC5"/>
    <w:rsid w:val="000B7EEF"/>
    <w:rsid w:val="000C002A"/>
    <w:rsid w:val="000C0125"/>
    <w:rsid w:val="000C0BF6"/>
    <w:rsid w:val="000C0D63"/>
    <w:rsid w:val="000C0D71"/>
    <w:rsid w:val="000C1029"/>
    <w:rsid w:val="000C1933"/>
    <w:rsid w:val="000C1C83"/>
    <w:rsid w:val="000C3063"/>
    <w:rsid w:val="000C312B"/>
    <w:rsid w:val="000C3207"/>
    <w:rsid w:val="000C36BF"/>
    <w:rsid w:val="000C39BE"/>
    <w:rsid w:val="000C3A19"/>
    <w:rsid w:val="000C3BD9"/>
    <w:rsid w:val="000C3C9F"/>
    <w:rsid w:val="000C3E31"/>
    <w:rsid w:val="000C4528"/>
    <w:rsid w:val="000C4BB1"/>
    <w:rsid w:val="000C5213"/>
    <w:rsid w:val="000C567E"/>
    <w:rsid w:val="000C591E"/>
    <w:rsid w:val="000C59D1"/>
    <w:rsid w:val="000C5A7F"/>
    <w:rsid w:val="000C5BB8"/>
    <w:rsid w:val="000C5CED"/>
    <w:rsid w:val="000C5ED6"/>
    <w:rsid w:val="000C6281"/>
    <w:rsid w:val="000C6393"/>
    <w:rsid w:val="000C68ED"/>
    <w:rsid w:val="000C6D43"/>
    <w:rsid w:val="000C6EDB"/>
    <w:rsid w:val="000C7149"/>
    <w:rsid w:val="000C7F58"/>
    <w:rsid w:val="000D03FC"/>
    <w:rsid w:val="000D0558"/>
    <w:rsid w:val="000D0603"/>
    <w:rsid w:val="000D0613"/>
    <w:rsid w:val="000D0772"/>
    <w:rsid w:val="000D08BD"/>
    <w:rsid w:val="000D098D"/>
    <w:rsid w:val="000D0B3C"/>
    <w:rsid w:val="000D1A1A"/>
    <w:rsid w:val="000D1B40"/>
    <w:rsid w:val="000D1D9D"/>
    <w:rsid w:val="000D22E6"/>
    <w:rsid w:val="000D254D"/>
    <w:rsid w:val="000D2833"/>
    <w:rsid w:val="000D326C"/>
    <w:rsid w:val="000D40F6"/>
    <w:rsid w:val="000D47BC"/>
    <w:rsid w:val="000D47EE"/>
    <w:rsid w:val="000D488A"/>
    <w:rsid w:val="000D49C5"/>
    <w:rsid w:val="000D4AD8"/>
    <w:rsid w:val="000D4F71"/>
    <w:rsid w:val="000D5382"/>
    <w:rsid w:val="000D538E"/>
    <w:rsid w:val="000D5524"/>
    <w:rsid w:val="000D57FB"/>
    <w:rsid w:val="000D60C8"/>
    <w:rsid w:val="000D6354"/>
    <w:rsid w:val="000D644D"/>
    <w:rsid w:val="000D64F3"/>
    <w:rsid w:val="000D6C1C"/>
    <w:rsid w:val="000D7BCC"/>
    <w:rsid w:val="000D7C0F"/>
    <w:rsid w:val="000D7D71"/>
    <w:rsid w:val="000E06D4"/>
    <w:rsid w:val="000E094B"/>
    <w:rsid w:val="000E0A41"/>
    <w:rsid w:val="000E0E67"/>
    <w:rsid w:val="000E1554"/>
    <w:rsid w:val="000E17BD"/>
    <w:rsid w:val="000E195A"/>
    <w:rsid w:val="000E1A7F"/>
    <w:rsid w:val="000E1EE2"/>
    <w:rsid w:val="000E224C"/>
    <w:rsid w:val="000E252D"/>
    <w:rsid w:val="000E2639"/>
    <w:rsid w:val="000E2AA4"/>
    <w:rsid w:val="000E2D46"/>
    <w:rsid w:val="000E2FA6"/>
    <w:rsid w:val="000E3508"/>
    <w:rsid w:val="000E3A44"/>
    <w:rsid w:val="000E3C72"/>
    <w:rsid w:val="000E4190"/>
    <w:rsid w:val="000E4200"/>
    <w:rsid w:val="000E4280"/>
    <w:rsid w:val="000E4464"/>
    <w:rsid w:val="000E49A9"/>
    <w:rsid w:val="000E4A8A"/>
    <w:rsid w:val="000E53EE"/>
    <w:rsid w:val="000E5443"/>
    <w:rsid w:val="000E587B"/>
    <w:rsid w:val="000E5C6F"/>
    <w:rsid w:val="000E5E4A"/>
    <w:rsid w:val="000E6057"/>
    <w:rsid w:val="000E60C0"/>
    <w:rsid w:val="000E6128"/>
    <w:rsid w:val="000E72B9"/>
    <w:rsid w:val="000E7CB2"/>
    <w:rsid w:val="000E7D8F"/>
    <w:rsid w:val="000F011D"/>
    <w:rsid w:val="000F015B"/>
    <w:rsid w:val="000F07C5"/>
    <w:rsid w:val="000F0EF9"/>
    <w:rsid w:val="000F1075"/>
    <w:rsid w:val="000F13CC"/>
    <w:rsid w:val="000F14FB"/>
    <w:rsid w:val="000F157B"/>
    <w:rsid w:val="000F15EC"/>
    <w:rsid w:val="000F1A1D"/>
    <w:rsid w:val="000F1B1B"/>
    <w:rsid w:val="000F1F54"/>
    <w:rsid w:val="000F213C"/>
    <w:rsid w:val="000F2759"/>
    <w:rsid w:val="000F3130"/>
    <w:rsid w:val="000F3A5B"/>
    <w:rsid w:val="000F3BBF"/>
    <w:rsid w:val="000F3F98"/>
    <w:rsid w:val="000F5330"/>
    <w:rsid w:val="000F54BE"/>
    <w:rsid w:val="000F55F7"/>
    <w:rsid w:val="000F5A7A"/>
    <w:rsid w:val="000F5E9F"/>
    <w:rsid w:val="000F5FF3"/>
    <w:rsid w:val="000F6057"/>
    <w:rsid w:val="000F65F4"/>
    <w:rsid w:val="000F668D"/>
    <w:rsid w:val="000F67D7"/>
    <w:rsid w:val="000F6DAD"/>
    <w:rsid w:val="000F6E85"/>
    <w:rsid w:val="000F72A3"/>
    <w:rsid w:val="000F7364"/>
    <w:rsid w:val="000F7B4A"/>
    <w:rsid w:val="0010000D"/>
    <w:rsid w:val="0010027A"/>
    <w:rsid w:val="00100462"/>
    <w:rsid w:val="00100616"/>
    <w:rsid w:val="001006AC"/>
    <w:rsid w:val="00100706"/>
    <w:rsid w:val="001008B7"/>
    <w:rsid w:val="00100930"/>
    <w:rsid w:val="00100C40"/>
    <w:rsid w:val="00100D39"/>
    <w:rsid w:val="00101183"/>
    <w:rsid w:val="001011AA"/>
    <w:rsid w:val="001012C6"/>
    <w:rsid w:val="001016D5"/>
    <w:rsid w:val="00101A29"/>
    <w:rsid w:val="00101CD7"/>
    <w:rsid w:val="00101F1A"/>
    <w:rsid w:val="0010204A"/>
    <w:rsid w:val="00102653"/>
    <w:rsid w:val="00102904"/>
    <w:rsid w:val="001029B8"/>
    <w:rsid w:val="00102A9A"/>
    <w:rsid w:val="00102EB3"/>
    <w:rsid w:val="0010356A"/>
    <w:rsid w:val="001039F7"/>
    <w:rsid w:val="00104009"/>
    <w:rsid w:val="00104553"/>
    <w:rsid w:val="001045F8"/>
    <w:rsid w:val="00104669"/>
    <w:rsid w:val="00104EF6"/>
    <w:rsid w:val="00104F81"/>
    <w:rsid w:val="0010523F"/>
    <w:rsid w:val="001056F3"/>
    <w:rsid w:val="00105BBA"/>
    <w:rsid w:val="00105C9E"/>
    <w:rsid w:val="00105D34"/>
    <w:rsid w:val="00105D9F"/>
    <w:rsid w:val="00106BB4"/>
    <w:rsid w:val="00106C12"/>
    <w:rsid w:val="00106CE3"/>
    <w:rsid w:val="00106DCB"/>
    <w:rsid w:val="00106F47"/>
    <w:rsid w:val="00107031"/>
    <w:rsid w:val="0010731F"/>
    <w:rsid w:val="0010797F"/>
    <w:rsid w:val="001079BC"/>
    <w:rsid w:val="00107C19"/>
    <w:rsid w:val="00107FEE"/>
    <w:rsid w:val="001102CC"/>
    <w:rsid w:val="00110440"/>
    <w:rsid w:val="001106C8"/>
    <w:rsid w:val="001107B4"/>
    <w:rsid w:val="00110B30"/>
    <w:rsid w:val="001110D2"/>
    <w:rsid w:val="001116F9"/>
    <w:rsid w:val="00111705"/>
    <w:rsid w:val="001117ED"/>
    <w:rsid w:val="00111A98"/>
    <w:rsid w:val="00111B8D"/>
    <w:rsid w:val="00111BD2"/>
    <w:rsid w:val="00111E1C"/>
    <w:rsid w:val="001120F0"/>
    <w:rsid w:val="00112354"/>
    <w:rsid w:val="00112ABE"/>
    <w:rsid w:val="00113C08"/>
    <w:rsid w:val="00113F46"/>
    <w:rsid w:val="00114329"/>
    <w:rsid w:val="00114682"/>
    <w:rsid w:val="0011483D"/>
    <w:rsid w:val="0011499F"/>
    <w:rsid w:val="00114A26"/>
    <w:rsid w:val="00114D92"/>
    <w:rsid w:val="00114E7A"/>
    <w:rsid w:val="0011515A"/>
    <w:rsid w:val="001151BA"/>
    <w:rsid w:val="00115D16"/>
    <w:rsid w:val="00115E5F"/>
    <w:rsid w:val="001161D2"/>
    <w:rsid w:val="00116776"/>
    <w:rsid w:val="00116A78"/>
    <w:rsid w:val="00116E46"/>
    <w:rsid w:val="00117205"/>
    <w:rsid w:val="00117456"/>
    <w:rsid w:val="0011772F"/>
    <w:rsid w:val="00117E81"/>
    <w:rsid w:val="00120167"/>
    <w:rsid w:val="00120194"/>
    <w:rsid w:val="00120692"/>
    <w:rsid w:val="001206F3"/>
    <w:rsid w:val="001208A3"/>
    <w:rsid w:val="00120EC3"/>
    <w:rsid w:val="00120F57"/>
    <w:rsid w:val="0012156D"/>
    <w:rsid w:val="00121945"/>
    <w:rsid w:val="00121B48"/>
    <w:rsid w:val="001222D0"/>
    <w:rsid w:val="001224DA"/>
    <w:rsid w:val="00122F08"/>
    <w:rsid w:val="00122F82"/>
    <w:rsid w:val="0012316D"/>
    <w:rsid w:val="001231BF"/>
    <w:rsid w:val="0012347E"/>
    <w:rsid w:val="001235C1"/>
    <w:rsid w:val="00124C1B"/>
    <w:rsid w:val="00124C6B"/>
    <w:rsid w:val="00125158"/>
    <w:rsid w:val="00125163"/>
    <w:rsid w:val="001259A5"/>
    <w:rsid w:val="00125ADD"/>
    <w:rsid w:val="00125DE7"/>
    <w:rsid w:val="00125FBC"/>
    <w:rsid w:val="00126527"/>
    <w:rsid w:val="0012660E"/>
    <w:rsid w:val="001267FD"/>
    <w:rsid w:val="0012686B"/>
    <w:rsid w:val="001268F3"/>
    <w:rsid w:val="00126D62"/>
    <w:rsid w:val="00127114"/>
    <w:rsid w:val="00127680"/>
    <w:rsid w:val="00127929"/>
    <w:rsid w:val="00127A4C"/>
    <w:rsid w:val="00130227"/>
    <w:rsid w:val="0013047A"/>
    <w:rsid w:val="00130ACB"/>
    <w:rsid w:val="00130F36"/>
    <w:rsid w:val="0013188D"/>
    <w:rsid w:val="00131941"/>
    <w:rsid w:val="00131C45"/>
    <w:rsid w:val="00132230"/>
    <w:rsid w:val="001324E1"/>
    <w:rsid w:val="00132826"/>
    <w:rsid w:val="00132994"/>
    <w:rsid w:val="00132C68"/>
    <w:rsid w:val="00132E75"/>
    <w:rsid w:val="00132ED2"/>
    <w:rsid w:val="00132EE5"/>
    <w:rsid w:val="001333F6"/>
    <w:rsid w:val="0013374D"/>
    <w:rsid w:val="00133F35"/>
    <w:rsid w:val="00134194"/>
    <w:rsid w:val="00134C3C"/>
    <w:rsid w:val="001350F5"/>
    <w:rsid w:val="00135144"/>
    <w:rsid w:val="00135A5B"/>
    <w:rsid w:val="001362D0"/>
    <w:rsid w:val="001369DD"/>
    <w:rsid w:val="001369F3"/>
    <w:rsid w:val="00136B90"/>
    <w:rsid w:val="00136BF4"/>
    <w:rsid w:val="00136FED"/>
    <w:rsid w:val="0013709F"/>
    <w:rsid w:val="001377A0"/>
    <w:rsid w:val="001378EA"/>
    <w:rsid w:val="001378FF"/>
    <w:rsid w:val="00137D76"/>
    <w:rsid w:val="00137DB5"/>
    <w:rsid w:val="0014003E"/>
    <w:rsid w:val="00140188"/>
    <w:rsid w:val="00140621"/>
    <w:rsid w:val="001406AB"/>
    <w:rsid w:val="00140E00"/>
    <w:rsid w:val="00141CF9"/>
    <w:rsid w:val="001420E4"/>
    <w:rsid w:val="0014246B"/>
    <w:rsid w:val="001424A8"/>
    <w:rsid w:val="001424E7"/>
    <w:rsid w:val="00142962"/>
    <w:rsid w:val="00143735"/>
    <w:rsid w:val="001437F0"/>
    <w:rsid w:val="001440CC"/>
    <w:rsid w:val="00144A38"/>
    <w:rsid w:val="00144C4A"/>
    <w:rsid w:val="0014517D"/>
    <w:rsid w:val="00145558"/>
    <w:rsid w:val="00145A61"/>
    <w:rsid w:val="00145F23"/>
    <w:rsid w:val="00145FA2"/>
    <w:rsid w:val="001463ED"/>
    <w:rsid w:val="00146994"/>
    <w:rsid w:val="00146EEF"/>
    <w:rsid w:val="0014712F"/>
    <w:rsid w:val="001474B9"/>
    <w:rsid w:val="00147D62"/>
    <w:rsid w:val="0015080A"/>
    <w:rsid w:val="00150871"/>
    <w:rsid w:val="00150D43"/>
    <w:rsid w:val="00150D79"/>
    <w:rsid w:val="001511A9"/>
    <w:rsid w:val="00151668"/>
    <w:rsid w:val="00151B0B"/>
    <w:rsid w:val="00151E97"/>
    <w:rsid w:val="00152F9E"/>
    <w:rsid w:val="001530CA"/>
    <w:rsid w:val="00153A32"/>
    <w:rsid w:val="00153AFB"/>
    <w:rsid w:val="00153C23"/>
    <w:rsid w:val="00154462"/>
    <w:rsid w:val="0015581B"/>
    <w:rsid w:val="00155F2D"/>
    <w:rsid w:val="0015693E"/>
    <w:rsid w:val="001572A1"/>
    <w:rsid w:val="00157698"/>
    <w:rsid w:val="00157742"/>
    <w:rsid w:val="001577FC"/>
    <w:rsid w:val="00157DAF"/>
    <w:rsid w:val="00160057"/>
    <w:rsid w:val="0016026F"/>
    <w:rsid w:val="00160292"/>
    <w:rsid w:val="001602B2"/>
    <w:rsid w:val="00160408"/>
    <w:rsid w:val="0016069F"/>
    <w:rsid w:val="00160AD4"/>
    <w:rsid w:val="00161042"/>
    <w:rsid w:val="0016113D"/>
    <w:rsid w:val="00161648"/>
    <w:rsid w:val="001618EE"/>
    <w:rsid w:val="00161905"/>
    <w:rsid w:val="00161B85"/>
    <w:rsid w:val="0016267E"/>
    <w:rsid w:val="001627C4"/>
    <w:rsid w:val="00162A67"/>
    <w:rsid w:val="001630B9"/>
    <w:rsid w:val="00163164"/>
    <w:rsid w:val="00163D4D"/>
    <w:rsid w:val="00163FE5"/>
    <w:rsid w:val="0016441D"/>
    <w:rsid w:val="0016451F"/>
    <w:rsid w:val="00164956"/>
    <w:rsid w:val="00164CAA"/>
    <w:rsid w:val="00164F60"/>
    <w:rsid w:val="00165306"/>
    <w:rsid w:val="00165849"/>
    <w:rsid w:val="001658BE"/>
    <w:rsid w:val="001660D3"/>
    <w:rsid w:val="0016620D"/>
    <w:rsid w:val="0016639A"/>
    <w:rsid w:val="001664E3"/>
    <w:rsid w:val="00166666"/>
    <w:rsid w:val="0016687F"/>
    <w:rsid w:val="00166BA7"/>
    <w:rsid w:val="00167000"/>
    <w:rsid w:val="0016711F"/>
    <w:rsid w:val="001671CC"/>
    <w:rsid w:val="001673E4"/>
    <w:rsid w:val="00167C62"/>
    <w:rsid w:val="00167FDA"/>
    <w:rsid w:val="001702DA"/>
    <w:rsid w:val="001706D9"/>
    <w:rsid w:val="00170DBA"/>
    <w:rsid w:val="00171ABB"/>
    <w:rsid w:val="00172AE8"/>
    <w:rsid w:val="00172CCB"/>
    <w:rsid w:val="00173464"/>
    <w:rsid w:val="001735A3"/>
    <w:rsid w:val="001739D1"/>
    <w:rsid w:val="00174630"/>
    <w:rsid w:val="0017466C"/>
    <w:rsid w:val="0017471C"/>
    <w:rsid w:val="001747D3"/>
    <w:rsid w:val="00174B28"/>
    <w:rsid w:val="00174D00"/>
    <w:rsid w:val="00175021"/>
    <w:rsid w:val="00176322"/>
    <w:rsid w:val="001764B9"/>
    <w:rsid w:val="001764F8"/>
    <w:rsid w:val="00176523"/>
    <w:rsid w:val="00176AFF"/>
    <w:rsid w:val="00176B93"/>
    <w:rsid w:val="00176C39"/>
    <w:rsid w:val="00177587"/>
    <w:rsid w:val="00177B4D"/>
    <w:rsid w:val="00177E1E"/>
    <w:rsid w:val="00177FD7"/>
    <w:rsid w:val="0018003E"/>
    <w:rsid w:val="00180045"/>
    <w:rsid w:val="0018039C"/>
    <w:rsid w:val="001803A3"/>
    <w:rsid w:val="00180727"/>
    <w:rsid w:val="00181B5E"/>
    <w:rsid w:val="001823EB"/>
    <w:rsid w:val="00182717"/>
    <w:rsid w:val="0018275D"/>
    <w:rsid w:val="001828E0"/>
    <w:rsid w:val="001829F5"/>
    <w:rsid w:val="00182CE7"/>
    <w:rsid w:val="00182CFC"/>
    <w:rsid w:val="00183947"/>
    <w:rsid w:val="00183B83"/>
    <w:rsid w:val="00184E28"/>
    <w:rsid w:val="001855BB"/>
    <w:rsid w:val="00185796"/>
    <w:rsid w:val="00185FC7"/>
    <w:rsid w:val="00186D6D"/>
    <w:rsid w:val="00186EBB"/>
    <w:rsid w:val="001877E0"/>
    <w:rsid w:val="00187AF1"/>
    <w:rsid w:val="00187BB3"/>
    <w:rsid w:val="00187C56"/>
    <w:rsid w:val="00187D3B"/>
    <w:rsid w:val="0019021D"/>
    <w:rsid w:val="001902EC"/>
    <w:rsid w:val="00190373"/>
    <w:rsid w:val="00190BC9"/>
    <w:rsid w:val="00190C77"/>
    <w:rsid w:val="001911E6"/>
    <w:rsid w:val="0019121B"/>
    <w:rsid w:val="001913A6"/>
    <w:rsid w:val="001914C5"/>
    <w:rsid w:val="00191505"/>
    <w:rsid w:val="0019194A"/>
    <w:rsid w:val="001919D8"/>
    <w:rsid w:val="00191C0A"/>
    <w:rsid w:val="00191F9D"/>
    <w:rsid w:val="001920F0"/>
    <w:rsid w:val="00192366"/>
    <w:rsid w:val="00192C6B"/>
    <w:rsid w:val="00192D9A"/>
    <w:rsid w:val="001939F1"/>
    <w:rsid w:val="00193ADB"/>
    <w:rsid w:val="00193B67"/>
    <w:rsid w:val="00193E27"/>
    <w:rsid w:val="00193F0C"/>
    <w:rsid w:val="00194034"/>
    <w:rsid w:val="001943CC"/>
    <w:rsid w:val="0019466C"/>
    <w:rsid w:val="00194A2C"/>
    <w:rsid w:val="001950C6"/>
    <w:rsid w:val="0019522E"/>
    <w:rsid w:val="00195372"/>
    <w:rsid w:val="00195627"/>
    <w:rsid w:val="001958AB"/>
    <w:rsid w:val="00195EF9"/>
    <w:rsid w:val="00196034"/>
    <w:rsid w:val="0019698C"/>
    <w:rsid w:val="0019765D"/>
    <w:rsid w:val="001976F4"/>
    <w:rsid w:val="001977F0"/>
    <w:rsid w:val="001979A7"/>
    <w:rsid w:val="00197A5E"/>
    <w:rsid w:val="001A0925"/>
    <w:rsid w:val="001A0C51"/>
    <w:rsid w:val="001A0ED7"/>
    <w:rsid w:val="001A12FE"/>
    <w:rsid w:val="001A14EB"/>
    <w:rsid w:val="001A1645"/>
    <w:rsid w:val="001A16D4"/>
    <w:rsid w:val="001A1732"/>
    <w:rsid w:val="001A2C9B"/>
    <w:rsid w:val="001A2DBA"/>
    <w:rsid w:val="001A2E36"/>
    <w:rsid w:val="001A2E85"/>
    <w:rsid w:val="001A3912"/>
    <w:rsid w:val="001A3947"/>
    <w:rsid w:val="001A3D6E"/>
    <w:rsid w:val="001A3E0D"/>
    <w:rsid w:val="001A3EE3"/>
    <w:rsid w:val="001A41F1"/>
    <w:rsid w:val="001A49A1"/>
    <w:rsid w:val="001A539E"/>
    <w:rsid w:val="001A5E73"/>
    <w:rsid w:val="001A61E1"/>
    <w:rsid w:val="001A642B"/>
    <w:rsid w:val="001A6612"/>
    <w:rsid w:val="001A7231"/>
    <w:rsid w:val="001A7702"/>
    <w:rsid w:val="001A7877"/>
    <w:rsid w:val="001A7E48"/>
    <w:rsid w:val="001B046B"/>
    <w:rsid w:val="001B06C1"/>
    <w:rsid w:val="001B0883"/>
    <w:rsid w:val="001B0D1E"/>
    <w:rsid w:val="001B0DB9"/>
    <w:rsid w:val="001B1631"/>
    <w:rsid w:val="001B1892"/>
    <w:rsid w:val="001B1A49"/>
    <w:rsid w:val="001B1AA7"/>
    <w:rsid w:val="001B1DE5"/>
    <w:rsid w:val="001B268E"/>
    <w:rsid w:val="001B26AD"/>
    <w:rsid w:val="001B2A53"/>
    <w:rsid w:val="001B2E47"/>
    <w:rsid w:val="001B2FA4"/>
    <w:rsid w:val="001B3578"/>
    <w:rsid w:val="001B3989"/>
    <w:rsid w:val="001B3A92"/>
    <w:rsid w:val="001B4275"/>
    <w:rsid w:val="001B4547"/>
    <w:rsid w:val="001B4AD7"/>
    <w:rsid w:val="001B4BBB"/>
    <w:rsid w:val="001B4BEA"/>
    <w:rsid w:val="001B50C5"/>
    <w:rsid w:val="001B5C28"/>
    <w:rsid w:val="001B5DF5"/>
    <w:rsid w:val="001B63F7"/>
    <w:rsid w:val="001B6438"/>
    <w:rsid w:val="001B6668"/>
    <w:rsid w:val="001B66B8"/>
    <w:rsid w:val="001B6D3B"/>
    <w:rsid w:val="001B6FE1"/>
    <w:rsid w:val="001B7144"/>
    <w:rsid w:val="001B7268"/>
    <w:rsid w:val="001B7335"/>
    <w:rsid w:val="001B73E9"/>
    <w:rsid w:val="001B75FD"/>
    <w:rsid w:val="001B783C"/>
    <w:rsid w:val="001B7C31"/>
    <w:rsid w:val="001B7DFB"/>
    <w:rsid w:val="001B7E75"/>
    <w:rsid w:val="001C02D3"/>
    <w:rsid w:val="001C096B"/>
    <w:rsid w:val="001C0C9D"/>
    <w:rsid w:val="001C0EE4"/>
    <w:rsid w:val="001C0F8B"/>
    <w:rsid w:val="001C122A"/>
    <w:rsid w:val="001C2079"/>
    <w:rsid w:val="001C2189"/>
    <w:rsid w:val="001C22EB"/>
    <w:rsid w:val="001C2BCD"/>
    <w:rsid w:val="001C337E"/>
    <w:rsid w:val="001C380D"/>
    <w:rsid w:val="001C394F"/>
    <w:rsid w:val="001C3AD0"/>
    <w:rsid w:val="001C3B8F"/>
    <w:rsid w:val="001C3CD4"/>
    <w:rsid w:val="001C400D"/>
    <w:rsid w:val="001C4361"/>
    <w:rsid w:val="001C4562"/>
    <w:rsid w:val="001C4805"/>
    <w:rsid w:val="001C4AA2"/>
    <w:rsid w:val="001C4DC5"/>
    <w:rsid w:val="001C5205"/>
    <w:rsid w:val="001C550B"/>
    <w:rsid w:val="001C57D5"/>
    <w:rsid w:val="001C6517"/>
    <w:rsid w:val="001C70FF"/>
    <w:rsid w:val="001C722D"/>
    <w:rsid w:val="001C7532"/>
    <w:rsid w:val="001C7991"/>
    <w:rsid w:val="001C7ACC"/>
    <w:rsid w:val="001C7B5A"/>
    <w:rsid w:val="001C7C37"/>
    <w:rsid w:val="001C7EBC"/>
    <w:rsid w:val="001C7F26"/>
    <w:rsid w:val="001D019B"/>
    <w:rsid w:val="001D0350"/>
    <w:rsid w:val="001D0450"/>
    <w:rsid w:val="001D060D"/>
    <w:rsid w:val="001D0828"/>
    <w:rsid w:val="001D0942"/>
    <w:rsid w:val="001D0A8F"/>
    <w:rsid w:val="001D15B5"/>
    <w:rsid w:val="001D1A37"/>
    <w:rsid w:val="001D1A96"/>
    <w:rsid w:val="001D1C3E"/>
    <w:rsid w:val="001D1E2C"/>
    <w:rsid w:val="001D2191"/>
    <w:rsid w:val="001D2374"/>
    <w:rsid w:val="001D2757"/>
    <w:rsid w:val="001D29F7"/>
    <w:rsid w:val="001D2B38"/>
    <w:rsid w:val="001D30D2"/>
    <w:rsid w:val="001D359C"/>
    <w:rsid w:val="001D3C4A"/>
    <w:rsid w:val="001D3F0C"/>
    <w:rsid w:val="001D3FE5"/>
    <w:rsid w:val="001D429C"/>
    <w:rsid w:val="001D449A"/>
    <w:rsid w:val="001D4B5A"/>
    <w:rsid w:val="001D5142"/>
    <w:rsid w:val="001D546F"/>
    <w:rsid w:val="001D5C31"/>
    <w:rsid w:val="001D68BF"/>
    <w:rsid w:val="001D6C93"/>
    <w:rsid w:val="001D712A"/>
    <w:rsid w:val="001D71A3"/>
    <w:rsid w:val="001E08A2"/>
    <w:rsid w:val="001E0C96"/>
    <w:rsid w:val="001E0F85"/>
    <w:rsid w:val="001E109A"/>
    <w:rsid w:val="001E1556"/>
    <w:rsid w:val="001E1797"/>
    <w:rsid w:val="001E2191"/>
    <w:rsid w:val="001E2BD7"/>
    <w:rsid w:val="001E47EC"/>
    <w:rsid w:val="001E4DDC"/>
    <w:rsid w:val="001E4EDE"/>
    <w:rsid w:val="001E4F4B"/>
    <w:rsid w:val="001E50E6"/>
    <w:rsid w:val="001E539D"/>
    <w:rsid w:val="001E5452"/>
    <w:rsid w:val="001E54F5"/>
    <w:rsid w:val="001E555D"/>
    <w:rsid w:val="001E56B0"/>
    <w:rsid w:val="001E5731"/>
    <w:rsid w:val="001E602B"/>
    <w:rsid w:val="001E63B3"/>
    <w:rsid w:val="001E6A87"/>
    <w:rsid w:val="001E6B5C"/>
    <w:rsid w:val="001E6BE4"/>
    <w:rsid w:val="001F0180"/>
    <w:rsid w:val="001F0317"/>
    <w:rsid w:val="001F085A"/>
    <w:rsid w:val="001F086C"/>
    <w:rsid w:val="001F0B10"/>
    <w:rsid w:val="001F0B92"/>
    <w:rsid w:val="001F16A7"/>
    <w:rsid w:val="001F1818"/>
    <w:rsid w:val="001F1861"/>
    <w:rsid w:val="001F1B62"/>
    <w:rsid w:val="001F1BF5"/>
    <w:rsid w:val="001F2165"/>
    <w:rsid w:val="001F23E9"/>
    <w:rsid w:val="001F2617"/>
    <w:rsid w:val="001F2B38"/>
    <w:rsid w:val="001F2EB4"/>
    <w:rsid w:val="001F31D2"/>
    <w:rsid w:val="001F3949"/>
    <w:rsid w:val="001F3C84"/>
    <w:rsid w:val="001F3CE2"/>
    <w:rsid w:val="001F50E8"/>
    <w:rsid w:val="001F5593"/>
    <w:rsid w:val="001F58FC"/>
    <w:rsid w:val="001F5AEC"/>
    <w:rsid w:val="001F5B7E"/>
    <w:rsid w:val="001F5C39"/>
    <w:rsid w:val="001F5F81"/>
    <w:rsid w:val="001F61A7"/>
    <w:rsid w:val="001F6270"/>
    <w:rsid w:val="001F68B8"/>
    <w:rsid w:val="001F6C6D"/>
    <w:rsid w:val="001F6FA0"/>
    <w:rsid w:val="001F7250"/>
    <w:rsid w:val="001F754D"/>
    <w:rsid w:val="001F75C8"/>
    <w:rsid w:val="002003D7"/>
    <w:rsid w:val="002005A2"/>
    <w:rsid w:val="0020080D"/>
    <w:rsid w:val="00201533"/>
    <w:rsid w:val="002015DF"/>
    <w:rsid w:val="0020178C"/>
    <w:rsid w:val="00201857"/>
    <w:rsid w:val="0020191B"/>
    <w:rsid w:val="00202304"/>
    <w:rsid w:val="002024AC"/>
    <w:rsid w:val="00202971"/>
    <w:rsid w:val="00202DF9"/>
    <w:rsid w:val="00202F74"/>
    <w:rsid w:val="002032F0"/>
    <w:rsid w:val="002034B8"/>
    <w:rsid w:val="00203D25"/>
    <w:rsid w:val="00204199"/>
    <w:rsid w:val="0020454E"/>
    <w:rsid w:val="00204951"/>
    <w:rsid w:val="0020560E"/>
    <w:rsid w:val="0020562F"/>
    <w:rsid w:val="00205B26"/>
    <w:rsid w:val="00207172"/>
    <w:rsid w:val="002073EC"/>
    <w:rsid w:val="00207472"/>
    <w:rsid w:val="00207B6E"/>
    <w:rsid w:val="00207C70"/>
    <w:rsid w:val="00210092"/>
    <w:rsid w:val="0021043F"/>
    <w:rsid w:val="00210849"/>
    <w:rsid w:val="00210A19"/>
    <w:rsid w:val="00210B13"/>
    <w:rsid w:val="00210B47"/>
    <w:rsid w:val="00210FBD"/>
    <w:rsid w:val="0021125F"/>
    <w:rsid w:val="0021153D"/>
    <w:rsid w:val="002116F7"/>
    <w:rsid w:val="00211C72"/>
    <w:rsid w:val="00211D6A"/>
    <w:rsid w:val="002121A1"/>
    <w:rsid w:val="00212B7F"/>
    <w:rsid w:val="0021307B"/>
    <w:rsid w:val="0021309D"/>
    <w:rsid w:val="002139E6"/>
    <w:rsid w:val="00213B88"/>
    <w:rsid w:val="00213FB9"/>
    <w:rsid w:val="0021421D"/>
    <w:rsid w:val="0021430C"/>
    <w:rsid w:val="00214675"/>
    <w:rsid w:val="00214762"/>
    <w:rsid w:val="00214896"/>
    <w:rsid w:val="00214AF6"/>
    <w:rsid w:val="00214F5C"/>
    <w:rsid w:val="0021545F"/>
    <w:rsid w:val="00215592"/>
    <w:rsid w:val="00215624"/>
    <w:rsid w:val="00215A84"/>
    <w:rsid w:val="00215D7C"/>
    <w:rsid w:val="00216399"/>
    <w:rsid w:val="00216506"/>
    <w:rsid w:val="00216B6C"/>
    <w:rsid w:val="00216BE1"/>
    <w:rsid w:val="00216F08"/>
    <w:rsid w:val="002171B5"/>
    <w:rsid w:val="0021742F"/>
    <w:rsid w:val="0022023A"/>
    <w:rsid w:val="002203EF"/>
    <w:rsid w:val="002211B2"/>
    <w:rsid w:val="00221205"/>
    <w:rsid w:val="00221A2F"/>
    <w:rsid w:val="00221AC7"/>
    <w:rsid w:val="00221D65"/>
    <w:rsid w:val="00221D84"/>
    <w:rsid w:val="002221B7"/>
    <w:rsid w:val="002227A4"/>
    <w:rsid w:val="00222BCC"/>
    <w:rsid w:val="00222EB2"/>
    <w:rsid w:val="00223304"/>
    <w:rsid w:val="00223538"/>
    <w:rsid w:val="002238DC"/>
    <w:rsid w:val="00223CDD"/>
    <w:rsid w:val="00223E84"/>
    <w:rsid w:val="00224310"/>
    <w:rsid w:val="00224A2A"/>
    <w:rsid w:val="00224B51"/>
    <w:rsid w:val="00224F3A"/>
    <w:rsid w:val="00225223"/>
    <w:rsid w:val="00225538"/>
    <w:rsid w:val="00225C92"/>
    <w:rsid w:val="00225F80"/>
    <w:rsid w:val="00226055"/>
    <w:rsid w:val="00226500"/>
    <w:rsid w:val="002271AD"/>
    <w:rsid w:val="00227427"/>
    <w:rsid w:val="002275B2"/>
    <w:rsid w:val="00227BF2"/>
    <w:rsid w:val="00227FE0"/>
    <w:rsid w:val="002305F7"/>
    <w:rsid w:val="00230B8D"/>
    <w:rsid w:val="00230C59"/>
    <w:rsid w:val="00230CA9"/>
    <w:rsid w:val="002312E9"/>
    <w:rsid w:val="00231455"/>
    <w:rsid w:val="002318C3"/>
    <w:rsid w:val="00231EEB"/>
    <w:rsid w:val="00231F0B"/>
    <w:rsid w:val="002322ED"/>
    <w:rsid w:val="0023236F"/>
    <w:rsid w:val="002325EC"/>
    <w:rsid w:val="00232CB3"/>
    <w:rsid w:val="00232D58"/>
    <w:rsid w:val="00232F9D"/>
    <w:rsid w:val="00233856"/>
    <w:rsid w:val="0023396F"/>
    <w:rsid w:val="002339A4"/>
    <w:rsid w:val="00233D26"/>
    <w:rsid w:val="00233E02"/>
    <w:rsid w:val="00233E63"/>
    <w:rsid w:val="00233F6B"/>
    <w:rsid w:val="00234A10"/>
    <w:rsid w:val="00234E20"/>
    <w:rsid w:val="00234E99"/>
    <w:rsid w:val="00235C24"/>
    <w:rsid w:val="00236783"/>
    <w:rsid w:val="00236A22"/>
    <w:rsid w:val="00236B98"/>
    <w:rsid w:val="00236C75"/>
    <w:rsid w:val="00237825"/>
    <w:rsid w:val="00237C41"/>
    <w:rsid w:val="00237F7D"/>
    <w:rsid w:val="002403B4"/>
    <w:rsid w:val="00241063"/>
    <w:rsid w:val="0024149D"/>
    <w:rsid w:val="0024160D"/>
    <w:rsid w:val="00241931"/>
    <w:rsid w:val="002420E3"/>
    <w:rsid w:val="002428DE"/>
    <w:rsid w:val="00242AFA"/>
    <w:rsid w:val="00242B13"/>
    <w:rsid w:val="00242D14"/>
    <w:rsid w:val="002430D8"/>
    <w:rsid w:val="002434E5"/>
    <w:rsid w:val="002435ED"/>
    <w:rsid w:val="002436CA"/>
    <w:rsid w:val="002440F0"/>
    <w:rsid w:val="00244296"/>
    <w:rsid w:val="00244351"/>
    <w:rsid w:val="0024484A"/>
    <w:rsid w:val="00244D44"/>
    <w:rsid w:val="00245552"/>
    <w:rsid w:val="002458BA"/>
    <w:rsid w:val="00245F1E"/>
    <w:rsid w:val="00245F98"/>
    <w:rsid w:val="00246109"/>
    <w:rsid w:val="002461B3"/>
    <w:rsid w:val="002462D0"/>
    <w:rsid w:val="0024675A"/>
    <w:rsid w:val="00246B3A"/>
    <w:rsid w:val="00247183"/>
    <w:rsid w:val="002474C8"/>
    <w:rsid w:val="00247525"/>
    <w:rsid w:val="00247545"/>
    <w:rsid w:val="00247FAE"/>
    <w:rsid w:val="00250288"/>
    <w:rsid w:val="0025028F"/>
    <w:rsid w:val="002508AB"/>
    <w:rsid w:val="00250B45"/>
    <w:rsid w:val="00250B52"/>
    <w:rsid w:val="00250E57"/>
    <w:rsid w:val="002510A3"/>
    <w:rsid w:val="0025198C"/>
    <w:rsid w:val="00251B50"/>
    <w:rsid w:val="00251DB1"/>
    <w:rsid w:val="00251E7F"/>
    <w:rsid w:val="00251F02"/>
    <w:rsid w:val="002523E9"/>
    <w:rsid w:val="00252A32"/>
    <w:rsid w:val="00252D80"/>
    <w:rsid w:val="0025375D"/>
    <w:rsid w:val="0025380E"/>
    <w:rsid w:val="00254BAB"/>
    <w:rsid w:val="00254CA2"/>
    <w:rsid w:val="00255069"/>
    <w:rsid w:val="00255251"/>
    <w:rsid w:val="00255382"/>
    <w:rsid w:val="002558CC"/>
    <w:rsid w:val="00255AD3"/>
    <w:rsid w:val="00256CC0"/>
    <w:rsid w:val="0025744C"/>
    <w:rsid w:val="0025757E"/>
    <w:rsid w:val="0025790F"/>
    <w:rsid w:val="00257C75"/>
    <w:rsid w:val="00260168"/>
    <w:rsid w:val="0026057B"/>
    <w:rsid w:val="00260794"/>
    <w:rsid w:val="00260AE6"/>
    <w:rsid w:val="00260B3D"/>
    <w:rsid w:val="00260E00"/>
    <w:rsid w:val="00260FF8"/>
    <w:rsid w:val="00261986"/>
    <w:rsid w:val="002621BC"/>
    <w:rsid w:val="00262774"/>
    <w:rsid w:val="00262B22"/>
    <w:rsid w:val="00263D4D"/>
    <w:rsid w:val="00263FB6"/>
    <w:rsid w:val="00263FC1"/>
    <w:rsid w:val="002641DB"/>
    <w:rsid w:val="00264406"/>
    <w:rsid w:val="00264677"/>
    <w:rsid w:val="00264711"/>
    <w:rsid w:val="002647E7"/>
    <w:rsid w:val="0026483F"/>
    <w:rsid w:val="002649A0"/>
    <w:rsid w:val="00264A68"/>
    <w:rsid w:val="00264DF0"/>
    <w:rsid w:val="0026565B"/>
    <w:rsid w:val="00265A2E"/>
    <w:rsid w:val="00265A5C"/>
    <w:rsid w:val="00265DDB"/>
    <w:rsid w:val="00265F08"/>
    <w:rsid w:val="002663E1"/>
    <w:rsid w:val="0026656B"/>
    <w:rsid w:val="00266936"/>
    <w:rsid w:val="00266E10"/>
    <w:rsid w:val="002675ED"/>
    <w:rsid w:val="0026789D"/>
    <w:rsid w:val="002679AB"/>
    <w:rsid w:val="00270465"/>
    <w:rsid w:val="0027071B"/>
    <w:rsid w:val="00270881"/>
    <w:rsid w:val="00270AD4"/>
    <w:rsid w:val="00270C1E"/>
    <w:rsid w:val="00271073"/>
    <w:rsid w:val="002711B5"/>
    <w:rsid w:val="0027169E"/>
    <w:rsid w:val="00271F46"/>
    <w:rsid w:val="00272284"/>
    <w:rsid w:val="00272418"/>
    <w:rsid w:val="002726B1"/>
    <w:rsid w:val="00272C5A"/>
    <w:rsid w:val="002730FE"/>
    <w:rsid w:val="00273717"/>
    <w:rsid w:val="002738AA"/>
    <w:rsid w:val="00274709"/>
    <w:rsid w:val="0027491C"/>
    <w:rsid w:val="00274A9D"/>
    <w:rsid w:val="00274D65"/>
    <w:rsid w:val="00274EF5"/>
    <w:rsid w:val="002752C8"/>
    <w:rsid w:val="00275B26"/>
    <w:rsid w:val="00275D7B"/>
    <w:rsid w:val="00276185"/>
    <w:rsid w:val="002763D9"/>
    <w:rsid w:val="002765A1"/>
    <w:rsid w:val="0027663C"/>
    <w:rsid w:val="00276A1E"/>
    <w:rsid w:val="00276A75"/>
    <w:rsid w:val="00276C29"/>
    <w:rsid w:val="00276D60"/>
    <w:rsid w:val="00276DF3"/>
    <w:rsid w:val="0027706F"/>
    <w:rsid w:val="00277514"/>
    <w:rsid w:val="00277545"/>
    <w:rsid w:val="00277700"/>
    <w:rsid w:val="00277B6E"/>
    <w:rsid w:val="00277CC6"/>
    <w:rsid w:val="002805A0"/>
    <w:rsid w:val="00281478"/>
    <w:rsid w:val="002819EB"/>
    <w:rsid w:val="00281AF3"/>
    <w:rsid w:val="00281FAB"/>
    <w:rsid w:val="00282D49"/>
    <w:rsid w:val="00283026"/>
    <w:rsid w:val="00283AC8"/>
    <w:rsid w:val="00283BEC"/>
    <w:rsid w:val="0028456F"/>
    <w:rsid w:val="00284C07"/>
    <w:rsid w:val="00285415"/>
    <w:rsid w:val="00285910"/>
    <w:rsid w:val="00285AED"/>
    <w:rsid w:val="00286736"/>
    <w:rsid w:val="00286D56"/>
    <w:rsid w:val="00286F48"/>
    <w:rsid w:val="00287A6B"/>
    <w:rsid w:val="0029002A"/>
    <w:rsid w:val="0029005D"/>
    <w:rsid w:val="00290D52"/>
    <w:rsid w:val="002919F1"/>
    <w:rsid w:val="00291A60"/>
    <w:rsid w:val="00291FD6"/>
    <w:rsid w:val="002920EE"/>
    <w:rsid w:val="002921E2"/>
    <w:rsid w:val="00292F0F"/>
    <w:rsid w:val="0029308E"/>
    <w:rsid w:val="00293BA4"/>
    <w:rsid w:val="00293DE5"/>
    <w:rsid w:val="00294559"/>
    <w:rsid w:val="00294CCA"/>
    <w:rsid w:val="0029502B"/>
    <w:rsid w:val="00295066"/>
    <w:rsid w:val="00295091"/>
    <w:rsid w:val="00295117"/>
    <w:rsid w:val="0029541C"/>
    <w:rsid w:val="00295425"/>
    <w:rsid w:val="002956EE"/>
    <w:rsid w:val="00296276"/>
    <w:rsid w:val="00296C5C"/>
    <w:rsid w:val="00296C9F"/>
    <w:rsid w:val="00296CC6"/>
    <w:rsid w:val="00297240"/>
    <w:rsid w:val="0029795A"/>
    <w:rsid w:val="002A08BD"/>
    <w:rsid w:val="002A0EFD"/>
    <w:rsid w:val="002A13B8"/>
    <w:rsid w:val="002A19E2"/>
    <w:rsid w:val="002A1C29"/>
    <w:rsid w:val="002A21A4"/>
    <w:rsid w:val="002A26AE"/>
    <w:rsid w:val="002A295E"/>
    <w:rsid w:val="002A2BB6"/>
    <w:rsid w:val="002A2E52"/>
    <w:rsid w:val="002A3016"/>
    <w:rsid w:val="002A35D9"/>
    <w:rsid w:val="002A3B1F"/>
    <w:rsid w:val="002A41F6"/>
    <w:rsid w:val="002A4244"/>
    <w:rsid w:val="002A425B"/>
    <w:rsid w:val="002A44CB"/>
    <w:rsid w:val="002A45C0"/>
    <w:rsid w:val="002A4A1E"/>
    <w:rsid w:val="002A5068"/>
    <w:rsid w:val="002A53E3"/>
    <w:rsid w:val="002A544A"/>
    <w:rsid w:val="002A55A4"/>
    <w:rsid w:val="002A567F"/>
    <w:rsid w:val="002A56F9"/>
    <w:rsid w:val="002A5B2A"/>
    <w:rsid w:val="002A5E99"/>
    <w:rsid w:val="002A6158"/>
    <w:rsid w:val="002A6556"/>
    <w:rsid w:val="002A6782"/>
    <w:rsid w:val="002A686C"/>
    <w:rsid w:val="002A6AAC"/>
    <w:rsid w:val="002A6E90"/>
    <w:rsid w:val="002A6F4B"/>
    <w:rsid w:val="002A709A"/>
    <w:rsid w:val="002A74AE"/>
    <w:rsid w:val="002A767F"/>
    <w:rsid w:val="002A7ACC"/>
    <w:rsid w:val="002A7E93"/>
    <w:rsid w:val="002B0582"/>
    <w:rsid w:val="002B05F3"/>
    <w:rsid w:val="002B0779"/>
    <w:rsid w:val="002B09BA"/>
    <w:rsid w:val="002B0A78"/>
    <w:rsid w:val="002B0C3C"/>
    <w:rsid w:val="002B0E4A"/>
    <w:rsid w:val="002B0EE4"/>
    <w:rsid w:val="002B1627"/>
    <w:rsid w:val="002B1859"/>
    <w:rsid w:val="002B1B43"/>
    <w:rsid w:val="002B23C4"/>
    <w:rsid w:val="002B2611"/>
    <w:rsid w:val="002B2798"/>
    <w:rsid w:val="002B2977"/>
    <w:rsid w:val="002B29EC"/>
    <w:rsid w:val="002B2AE3"/>
    <w:rsid w:val="002B33CD"/>
    <w:rsid w:val="002B35F9"/>
    <w:rsid w:val="002B3751"/>
    <w:rsid w:val="002B3884"/>
    <w:rsid w:val="002B3D14"/>
    <w:rsid w:val="002B3F22"/>
    <w:rsid w:val="002B4407"/>
    <w:rsid w:val="002B454F"/>
    <w:rsid w:val="002B4C47"/>
    <w:rsid w:val="002B4DA6"/>
    <w:rsid w:val="002B52E4"/>
    <w:rsid w:val="002B54CE"/>
    <w:rsid w:val="002B5727"/>
    <w:rsid w:val="002B5CF0"/>
    <w:rsid w:val="002B63F9"/>
    <w:rsid w:val="002B6D8D"/>
    <w:rsid w:val="002B7EFA"/>
    <w:rsid w:val="002C02BC"/>
    <w:rsid w:val="002C03E5"/>
    <w:rsid w:val="002C04A4"/>
    <w:rsid w:val="002C0520"/>
    <w:rsid w:val="002C06D5"/>
    <w:rsid w:val="002C08AA"/>
    <w:rsid w:val="002C0A8A"/>
    <w:rsid w:val="002C1483"/>
    <w:rsid w:val="002C1675"/>
    <w:rsid w:val="002C23EC"/>
    <w:rsid w:val="002C2667"/>
    <w:rsid w:val="002C4184"/>
    <w:rsid w:val="002C43E7"/>
    <w:rsid w:val="002C47F2"/>
    <w:rsid w:val="002C487F"/>
    <w:rsid w:val="002C48A3"/>
    <w:rsid w:val="002C4F01"/>
    <w:rsid w:val="002C5140"/>
    <w:rsid w:val="002C516F"/>
    <w:rsid w:val="002C53F7"/>
    <w:rsid w:val="002C58E5"/>
    <w:rsid w:val="002C5A6F"/>
    <w:rsid w:val="002C5D64"/>
    <w:rsid w:val="002C64DC"/>
    <w:rsid w:val="002C64E0"/>
    <w:rsid w:val="002C6B73"/>
    <w:rsid w:val="002C7806"/>
    <w:rsid w:val="002C7FF9"/>
    <w:rsid w:val="002D067B"/>
    <w:rsid w:val="002D09B1"/>
    <w:rsid w:val="002D0B28"/>
    <w:rsid w:val="002D0CEE"/>
    <w:rsid w:val="002D103D"/>
    <w:rsid w:val="002D12BC"/>
    <w:rsid w:val="002D134B"/>
    <w:rsid w:val="002D1C78"/>
    <w:rsid w:val="002D1E02"/>
    <w:rsid w:val="002D1F5D"/>
    <w:rsid w:val="002D2914"/>
    <w:rsid w:val="002D35FF"/>
    <w:rsid w:val="002D3913"/>
    <w:rsid w:val="002D39A4"/>
    <w:rsid w:val="002D39D6"/>
    <w:rsid w:val="002D4386"/>
    <w:rsid w:val="002D46A8"/>
    <w:rsid w:val="002D47BF"/>
    <w:rsid w:val="002D4A65"/>
    <w:rsid w:val="002D4B8B"/>
    <w:rsid w:val="002D5226"/>
    <w:rsid w:val="002D5364"/>
    <w:rsid w:val="002D56E6"/>
    <w:rsid w:val="002D59D7"/>
    <w:rsid w:val="002D59F2"/>
    <w:rsid w:val="002D5F90"/>
    <w:rsid w:val="002D653C"/>
    <w:rsid w:val="002D6938"/>
    <w:rsid w:val="002D69E1"/>
    <w:rsid w:val="002D74C6"/>
    <w:rsid w:val="002D771E"/>
    <w:rsid w:val="002D7C14"/>
    <w:rsid w:val="002D7CCE"/>
    <w:rsid w:val="002E04A2"/>
    <w:rsid w:val="002E098C"/>
    <w:rsid w:val="002E09F1"/>
    <w:rsid w:val="002E0A37"/>
    <w:rsid w:val="002E0B47"/>
    <w:rsid w:val="002E0CAB"/>
    <w:rsid w:val="002E0CB9"/>
    <w:rsid w:val="002E1098"/>
    <w:rsid w:val="002E10CE"/>
    <w:rsid w:val="002E17BB"/>
    <w:rsid w:val="002E18EA"/>
    <w:rsid w:val="002E1D89"/>
    <w:rsid w:val="002E243C"/>
    <w:rsid w:val="002E24FC"/>
    <w:rsid w:val="002E29EF"/>
    <w:rsid w:val="002E3222"/>
    <w:rsid w:val="002E3C4C"/>
    <w:rsid w:val="002E3D99"/>
    <w:rsid w:val="002E4974"/>
    <w:rsid w:val="002E4C20"/>
    <w:rsid w:val="002E60E5"/>
    <w:rsid w:val="002E641E"/>
    <w:rsid w:val="002E661E"/>
    <w:rsid w:val="002E677F"/>
    <w:rsid w:val="002E6B1B"/>
    <w:rsid w:val="002E6C1B"/>
    <w:rsid w:val="002E6C84"/>
    <w:rsid w:val="002E6D89"/>
    <w:rsid w:val="002E6F7E"/>
    <w:rsid w:val="002E6FE7"/>
    <w:rsid w:val="002E7B9A"/>
    <w:rsid w:val="002F0CAA"/>
    <w:rsid w:val="002F0CF2"/>
    <w:rsid w:val="002F12EC"/>
    <w:rsid w:val="002F135F"/>
    <w:rsid w:val="002F13CD"/>
    <w:rsid w:val="002F16B8"/>
    <w:rsid w:val="002F187A"/>
    <w:rsid w:val="002F1F6B"/>
    <w:rsid w:val="002F2959"/>
    <w:rsid w:val="002F2A58"/>
    <w:rsid w:val="002F2D02"/>
    <w:rsid w:val="002F2F08"/>
    <w:rsid w:val="002F2F37"/>
    <w:rsid w:val="002F34A7"/>
    <w:rsid w:val="002F3CE8"/>
    <w:rsid w:val="002F3D19"/>
    <w:rsid w:val="002F3ED9"/>
    <w:rsid w:val="002F3EF5"/>
    <w:rsid w:val="002F45BD"/>
    <w:rsid w:val="002F466A"/>
    <w:rsid w:val="002F5A2F"/>
    <w:rsid w:val="002F6491"/>
    <w:rsid w:val="002F68F4"/>
    <w:rsid w:val="002F6FEE"/>
    <w:rsid w:val="002F73C8"/>
    <w:rsid w:val="002F73DE"/>
    <w:rsid w:val="002F75F5"/>
    <w:rsid w:val="002F7911"/>
    <w:rsid w:val="002F7AE4"/>
    <w:rsid w:val="002F7AE5"/>
    <w:rsid w:val="002F7BCE"/>
    <w:rsid w:val="00300A5B"/>
    <w:rsid w:val="00300BB5"/>
    <w:rsid w:val="00300C0D"/>
    <w:rsid w:val="0030106B"/>
    <w:rsid w:val="00301238"/>
    <w:rsid w:val="00301476"/>
    <w:rsid w:val="00301564"/>
    <w:rsid w:val="00301790"/>
    <w:rsid w:val="00301A08"/>
    <w:rsid w:val="003022B5"/>
    <w:rsid w:val="00302E78"/>
    <w:rsid w:val="00303183"/>
    <w:rsid w:val="003031C9"/>
    <w:rsid w:val="00303522"/>
    <w:rsid w:val="0030377E"/>
    <w:rsid w:val="00303964"/>
    <w:rsid w:val="00303BE2"/>
    <w:rsid w:val="00303E4B"/>
    <w:rsid w:val="0030431F"/>
    <w:rsid w:val="00304452"/>
    <w:rsid w:val="00304A02"/>
    <w:rsid w:val="00305599"/>
    <w:rsid w:val="00305A41"/>
    <w:rsid w:val="00305AA9"/>
    <w:rsid w:val="00306158"/>
    <w:rsid w:val="00306BF3"/>
    <w:rsid w:val="00306DC7"/>
    <w:rsid w:val="00307200"/>
    <w:rsid w:val="00307993"/>
    <w:rsid w:val="00307EED"/>
    <w:rsid w:val="0031043B"/>
    <w:rsid w:val="003109CE"/>
    <w:rsid w:val="003114EC"/>
    <w:rsid w:val="003115FC"/>
    <w:rsid w:val="0031181C"/>
    <w:rsid w:val="00311C86"/>
    <w:rsid w:val="00311C90"/>
    <w:rsid w:val="00311E20"/>
    <w:rsid w:val="003121BD"/>
    <w:rsid w:val="0031220A"/>
    <w:rsid w:val="003122EA"/>
    <w:rsid w:val="00312499"/>
    <w:rsid w:val="00312AF4"/>
    <w:rsid w:val="00312BD0"/>
    <w:rsid w:val="00313580"/>
    <w:rsid w:val="0031379E"/>
    <w:rsid w:val="00313E2D"/>
    <w:rsid w:val="00313F0A"/>
    <w:rsid w:val="003142FE"/>
    <w:rsid w:val="003143C7"/>
    <w:rsid w:val="00314512"/>
    <w:rsid w:val="003148A9"/>
    <w:rsid w:val="00314EDE"/>
    <w:rsid w:val="00314F1F"/>
    <w:rsid w:val="003152AA"/>
    <w:rsid w:val="0031552D"/>
    <w:rsid w:val="003156A0"/>
    <w:rsid w:val="003157E1"/>
    <w:rsid w:val="0031599C"/>
    <w:rsid w:val="003159DC"/>
    <w:rsid w:val="00315C74"/>
    <w:rsid w:val="00315EAB"/>
    <w:rsid w:val="0031644D"/>
    <w:rsid w:val="003166C4"/>
    <w:rsid w:val="0031687D"/>
    <w:rsid w:val="003168F7"/>
    <w:rsid w:val="00316D5D"/>
    <w:rsid w:val="00316FC6"/>
    <w:rsid w:val="00317828"/>
    <w:rsid w:val="0031790A"/>
    <w:rsid w:val="00317937"/>
    <w:rsid w:val="0032023D"/>
    <w:rsid w:val="003202A4"/>
    <w:rsid w:val="00320AAF"/>
    <w:rsid w:val="00320AC2"/>
    <w:rsid w:val="00320AE2"/>
    <w:rsid w:val="00320B4E"/>
    <w:rsid w:val="00320D85"/>
    <w:rsid w:val="00320E65"/>
    <w:rsid w:val="003214FD"/>
    <w:rsid w:val="00321560"/>
    <w:rsid w:val="00321855"/>
    <w:rsid w:val="00321886"/>
    <w:rsid w:val="003218C1"/>
    <w:rsid w:val="00321AA1"/>
    <w:rsid w:val="00321C73"/>
    <w:rsid w:val="00322001"/>
    <w:rsid w:val="0032281B"/>
    <w:rsid w:val="003228F0"/>
    <w:rsid w:val="00322FCF"/>
    <w:rsid w:val="00323171"/>
    <w:rsid w:val="003235DD"/>
    <w:rsid w:val="00324442"/>
    <w:rsid w:val="0032466E"/>
    <w:rsid w:val="0032491B"/>
    <w:rsid w:val="00324A84"/>
    <w:rsid w:val="00324DC2"/>
    <w:rsid w:val="00325155"/>
    <w:rsid w:val="00325AE7"/>
    <w:rsid w:val="00325D2B"/>
    <w:rsid w:val="0032631E"/>
    <w:rsid w:val="00326442"/>
    <w:rsid w:val="0032697C"/>
    <w:rsid w:val="003269AE"/>
    <w:rsid w:val="003269D6"/>
    <w:rsid w:val="00326E30"/>
    <w:rsid w:val="00327A4A"/>
    <w:rsid w:val="00327CA9"/>
    <w:rsid w:val="00327D4F"/>
    <w:rsid w:val="003304E9"/>
    <w:rsid w:val="00330575"/>
    <w:rsid w:val="0033074F"/>
    <w:rsid w:val="00330790"/>
    <w:rsid w:val="0033122E"/>
    <w:rsid w:val="003313E1"/>
    <w:rsid w:val="00331B4A"/>
    <w:rsid w:val="00331F2E"/>
    <w:rsid w:val="00332406"/>
    <w:rsid w:val="00332858"/>
    <w:rsid w:val="00332971"/>
    <w:rsid w:val="00332B38"/>
    <w:rsid w:val="00332B46"/>
    <w:rsid w:val="00332C16"/>
    <w:rsid w:val="00332F35"/>
    <w:rsid w:val="00332FA8"/>
    <w:rsid w:val="0033381C"/>
    <w:rsid w:val="00334332"/>
    <w:rsid w:val="00334606"/>
    <w:rsid w:val="003348E8"/>
    <w:rsid w:val="00334DD2"/>
    <w:rsid w:val="0033513E"/>
    <w:rsid w:val="003353DC"/>
    <w:rsid w:val="00335654"/>
    <w:rsid w:val="003360FA"/>
    <w:rsid w:val="0033647E"/>
    <w:rsid w:val="0033667A"/>
    <w:rsid w:val="00336695"/>
    <w:rsid w:val="00336861"/>
    <w:rsid w:val="00336CB3"/>
    <w:rsid w:val="00337174"/>
    <w:rsid w:val="00337254"/>
    <w:rsid w:val="0033787E"/>
    <w:rsid w:val="003379F0"/>
    <w:rsid w:val="003401E1"/>
    <w:rsid w:val="003403EC"/>
    <w:rsid w:val="0034064F"/>
    <w:rsid w:val="00340803"/>
    <w:rsid w:val="003408E3"/>
    <w:rsid w:val="00340D1C"/>
    <w:rsid w:val="00341406"/>
    <w:rsid w:val="00341870"/>
    <w:rsid w:val="0034193F"/>
    <w:rsid w:val="00341D46"/>
    <w:rsid w:val="00341E6F"/>
    <w:rsid w:val="00342046"/>
    <w:rsid w:val="00342128"/>
    <w:rsid w:val="003422AB"/>
    <w:rsid w:val="003424E9"/>
    <w:rsid w:val="00342D71"/>
    <w:rsid w:val="00342F54"/>
    <w:rsid w:val="0034303E"/>
    <w:rsid w:val="00343282"/>
    <w:rsid w:val="00343C73"/>
    <w:rsid w:val="00343F18"/>
    <w:rsid w:val="00344540"/>
    <w:rsid w:val="003447C7"/>
    <w:rsid w:val="00344C1A"/>
    <w:rsid w:val="00344E37"/>
    <w:rsid w:val="00344FF7"/>
    <w:rsid w:val="003453A2"/>
    <w:rsid w:val="003455AB"/>
    <w:rsid w:val="003456B3"/>
    <w:rsid w:val="00345CC3"/>
    <w:rsid w:val="003461D1"/>
    <w:rsid w:val="00346227"/>
    <w:rsid w:val="003465FA"/>
    <w:rsid w:val="00346893"/>
    <w:rsid w:val="003472A5"/>
    <w:rsid w:val="003472FD"/>
    <w:rsid w:val="003473AB"/>
    <w:rsid w:val="0034753A"/>
    <w:rsid w:val="00347881"/>
    <w:rsid w:val="003479B6"/>
    <w:rsid w:val="00347B2A"/>
    <w:rsid w:val="00347C8F"/>
    <w:rsid w:val="003506CB"/>
    <w:rsid w:val="003508B8"/>
    <w:rsid w:val="00350D44"/>
    <w:rsid w:val="00350DB3"/>
    <w:rsid w:val="003510F6"/>
    <w:rsid w:val="0035112E"/>
    <w:rsid w:val="003513BE"/>
    <w:rsid w:val="00351675"/>
    <w:rsid w:val="003522B7"/>
    <w:rsid w:val="00352557"/>
    <w:rsid w:val="0035299B"/>
    <w:rsid w:val="00352EC7"/>
    <w:rsid w:val="00353777"/>
    <w:rsid w:val="0035383F"/>
    <w:rsid w:val="00353A79"/>
    <w:rsid w:val="003548C9"/>
    <w:rsid w:val="003552FC"/>
    <w:rsid w:val="003556D2"/>
    <w:rsid w:val="003558B5"/>
    <w:rsid w:val="00355A93"/>
    <w:rsid w:val="00355B4C"/>
    <w:rsid w:val="0035661A"/>
    <w:rsid w:val="003567B3"/>
    <w:rsid w:val="00356AFB"/>
    <w:rsid w:val="00356DDD"/>
    <w:rsid w:val="00356EF9"/>
    <w:rsid w:val="00357103"/>
    <w:rsid w:val="00357135"/>
    <w:rsid w:val="00357EB8"/>
    <w:rsid w:val="00360761"/>
    <w:rsid w:val="003609D5"/>
    <w:rsid w:val="00360DE3"/>
    <w:rsid w:val="003610D7"/>
    <w:rsid w:val="003613DC"/>
    <w:rsid w:val="003618CF"/>
    <w:rsid w:val="00361A2D"/>
    <w:rsid w:val="00361A35"/>
    <w:rsid w:val="00361ACD"/>
    <w:rsid w:val="00361B4E"/>
    <w:rsid w:val="00362336"/>
    <w:rsid w:val="0036267E"/>
    <w:rsid w:val="00362731"/>
    <w:rsid w:val="0036281A"/>
    <w:rsid w:val="00362CD3"/>
    <w:rsid w:val="00362D9C"/>
    <w:rsid w:val="00363549"/>
    <w:rsid w:val="00363CDC"/>
    <w:rsid w:val="00363FB7"/>
    <w:rsid w:val="003641AD"/>
    <w:rsid w:val="0036435E"/>
    <w:rsid w:val="003643EF"/>
    <w:rsid w:val="00364D53"/>
    <w:rsid w:val="00364F1D"/>
    <w:rsid w:val="00365088"/>
    <w:rsid w:val="00365BDA"/>
    <w:rsid w:val="00365D24"/>
    <w:rsid w:val="0036610A"/>
    <w:rsid w:val="003661CE"/>
    <w:rsid w:val="0036657B"/>
    <w:rsid w:val="00366588"/>
    <w:rsid w:val="00366E33"/>
    <w:rsid w:val="00366E76"/>
    <w:rsid w:val="00367065"/>
    <w:rsid w:val="0036709D"/>
    <w:rsid w:val="003672A0"/>
    <w:rsid w:val="003674BA"/>
    <w:rsid w:val="003675D1"/>
    <w:rsid w:val="00367B4F"/>
    <w:rsid w:val="00370030"/>
    <w:rsid w:val="00370493"/>
    <w:rsid w:val="00370BB6"/>
    <w:rsid w:val="00370E59"/>
    <w:rsid w:val="00370FB5"/>
    <w:rsid w:val="00371344"/>
    <w:rsid w:val="00371596"/>
    <w:rsid w:val="00371697"/>
    <w:rsid w:val="00371714"/>
    <w:rsid w:val="003719F5"/>
    <w:rsid w:val="00372DFB"/>
    <w:rsid w:val="003734A6"/>
    <w:rsid w:val="003735FA"/>
    <w:rsid w:val="003739D6"/>
    <w:rsid w:val="00373A85"/>
    <w:rsid w:val="00373E00"/>
    <w:rsid w:val="0037415C"/>
    <w:rsid w:val="00374423"/>
    <w:rsid w:val="00375131"/>
    <w:rsid w:val="0037544C"/>
    <w:rsid w:val="003754F9"/>
    <w:rsid w:val="003757E9"/>
    <w:rsid w:val="00375B19"/>
    <w:rsid w:val="00375BC9"/>
    <w:rsid w:val="00375BF7"/>
    <w:rsid w:val="00376019"/>
    <w:rsid w:val="00376176"/>
    <w:rsid w:val="003761FA"/>
    <w:rsid w:val="00376486"/>
    <w:rsid w:val="00376AD3"/>
    <w:rsid w:val="00376B97"/>
    <w:rsid w:val="00376CA1"/>
    <w:rsid w:val="00376F02"/>
    <w:rsid w:val="00377000"/>
    <w:rsid w:val="00377543"/>
    <w:rsid w:val="00377A8D"/>
    <w:rsid w:val="00377B0F"/>
    <w:rsid w:val="00377B6A"/>
    <w:rsid w:val="00377C3F"/>
    <w:rsid w:val="0038086E"/>
    <w:rsid w:val="00380973"/>
    <w:rsid w:val="00380D46"/>
    <w:rsid w:val="0038110C"/>
    <w:rsid w:val="00381B3A"/>
    <w:rsid w:val="0038260C"/>
    <w:rsid w:val="003826D0"/>
    <w:rsid w:val="00382978"/>
    <w:rsid w:val="00382E21"/>
    <w:rsid w:val="003832C2"/>
    <w:rsid w:val="003838A6"/>
    <w:rsid w:val="00383C92"/>
    <w:rsid w:val="00383D52"/>
    <w:rsid w:val="0038400F"/>
    <w:rsid w:val="003841B6"/>
    <w:rsid w:val="003842D2"/>
    <w:rsid w:val="00384607"/>
    <w:rsid w:val="0038475F"/>
    <w:rsid w:val="00384FFB"/>
    <w:rsid w:val="0038535D"/>
    <w:rsid w:val="003854E1"/>
    <w:rsid w:val="00385664"/>
    <w:rsid w:val="003858C1"/>
    <w:rsid w:val="00385C15"/>
    <w:rsid w:val="00385CCE"/>
    <w:rsid w:val="00385EA4"/>
    <w:rsid w:val="00386AC2"/>
    <w:rsid w:val="00386B4B"/>
    <w:rsid w:val="00386E7F"/>
    <w:rsid w:val="00386F62"/>
    <w:rsid w:val="003871D3"/>
    <w:rsid w:val="003872FA"/>
    <w:rsid w:val="0038759D"/>
    <w:rsid w:val="003877FB"/>
    <w:rsid w:val="003902E6"/>
    <w:rsid w:val="003903DC"/>
    <w:rsid w:val="00390454"/>
    <w:rsid w:val="003904FF"/>
    <w:rsid w:val="00390B6E"/>
    <w:rsid w:val="00390C53"/>
    <w:rsid w:val="00390F3C"/>
    <w:rsid w:val="003913B2"/>
    <w:rsid w:val="00391947"/>
    <w:rsid w:val="00391A22"/>
    <w:rsid w:val="00391B14"/>
    <w:rsid w:val="00391B78"/>
    <w:rsid w:val="00391ED2"/>
    <w:rsid w:val="003920E7"/>
    <w:rsid w:val="00392116"/>
    <w:rsid w:val="003921D5"/>
    <w:rsid w:val="003926DE"/>
    <w:rsid w:val="00392873"/>
    <w:rsid w:val="00392F0B"/>
    <w:rsid w:val="00393027"/>
    <w:rsid w:val="00393310"/>
    <w:rsid w:val="0039357A"/>
    <w:rsid w:val="00393638"/>
    <w:rsid w:val="00393F3A"/>
    <w:rsid w:val="0039446E"/>
    <w:rsid w:val="00394E24"/>
    <w:rsid w:val="00394F9F"/>
    <w:rsid w:val="00395A09"/>
    <w:rsid w:val="00395A15"/>
    <w:rsid w:val="00395B2D"/>
    <w:rsid w:val="00395B98"/>
    <w:rsid w:val="00395C35"/>
    <w:rsid w:val="00395D51"/>
    <w:rsid w:val="00395F42"/>
    <w:rsid w:val="00396AF7"/>
    <w:rsid w:val="00396CE6"/>
    <w:rsid w:val="00396F02"/>
    <w:rsid w:val="00397601"/>
    <w:rsid w:val="00397638"/>
    <w:rsid w:val="003976BB"/>
    <w:rsid w:val="00397D07"/>
    <w:rsid w:val="003A0126"/>
    <w:rsid w:val="003A0291"/>
    <w:rsid w:val="003A0CE0"/>
    <w:rsid w:val="003A0D0E"/>
    <w:rsid w:val="003A0D7A"/>
    <w:rsid w:val="003A0E07"/>
    <w:rsid w:val="003A1599"/>
    <w:rsid w:val="003A1775"/>
    <w:rsid w:val="003A1A1A"/>
    <w:rsid w:val="003A2114"/>
    <w:rsid w:val="003A218E"/>
    <w:rsid w:val="003A2256"/>
    <w:rsid w:val="003A2A1A"/>
    <w:rsid w:val="003A2BB7"/>
    <w:rsid w:val="003A2F42"/>
    <w:rsid w:val="003A32FF"/>
    <w:rsid w:val="003A39B8"/>
    <w:rsid w:val="003A39DF"/>
    <w:rsid w:val="003A3D01"/>
    <w:rsid w:val="003A4690"/>
    <w:rsid w:val="003A473D"/>
    <w:rsid w:val="003A4DD8"/>
    <w:rsid w:val="003A53DB"/>
    <w:rsid w:val="003A57A6"/>
    <w:rsid w:val="003A57CE"/>
    <w:rsid w:val="003A5A1D"/>
    <w:rsid w:val="003A5AED"/>
    <w:rsid w:val="003A5D36"/>
    <w:rsid w:val="003A64D9"/>
    <w:rsid w:val="003A6718"/>
    <w:rsid w:val="003A6B70"/>
    <w:rsid w:val="003A6BE4"/>
    <w:rsid w:val="003A756B"/>
    <w:rsid w:val="003A76C5"/>
    <w:rsid w:val="003A7A46"/>
    <w:rsid w:val="003A7CDA"/>
    <w:rsid w:val="003B02E3"/>
    <w:rsid w:val="003B02FF"/>
    <w:rsid w:val="003B058D"/>
    <w:rsid w:val="003B1328"/>
    <w:rsid w:val="003B133D"/>
    <w:rsid w:val="003B1665"/>
    <w:rsid w:val="003B17BD"/>
    <w:rsid w:val="003B1A78"/>
    <w:rsid w:val="003B1ABE"/>
    <w:rsid w:val="003B1D79"/>
    <w:rsid w:val="003B2262"/>
    <w:rsid w:val="003B23C3"/>
    <w:rsid w:val="003B2423"/>
    <w:rsid w:val="003B2F08"/>
    <w:rsid w:val="003B3007"/>
    <w:rsid w:val="003B31DD"/>
    <w:rsid w:val="003B335D"/>
    <w:rsid w:val="003B34F3"/>
    <w:rsid w:val="003B3879"/>
    <w:rsid w:val="003B3A68"/>
    <w:rsid w:val="003B3C0A"/>
    <w:rsid w:val="003B3D02"/>
    <w:rsid w:val="003B3ECD"/>
    <w:rsid w:val="003B5EB9"/>
    <w:rsid w:val="003B5EC2"/>
    <w:rsid w:val="003B5FF6"/>
    <w:rsid w:val="003B67D9"/>
    <w:rsid w:val="003B6A7A"/>
    <w:rsid w:val="003B721C"/>
    <w:rsid w:val="003B7805"/>
    <w:rsid w:val="003B7877"/>
    <w:rsid w:val="003B7925"/>
    <w:rsid w:val="003B795E"/>
    <w:rsid w:val="003B7A34"/>
    <w:rsid w:val="003B7AD4"/>
    <w:rsid w:val="003B7D87"/>
    <w:rsid w:val="003B7ED4"/>
    <w:rsid w:val="003B7F65"/>
    <w:rsid w:val="003B7FF3"/>
    <w:rsid w:val="003C00C7"/>
    <w:rsid w:val="003C0585"/>
    <w:rsid w:val="003C13F5"/>
    <w:rsid w:val="003C1863"/>
    <w:rsid w:val="003C1D98"/>
    <w:rsid w:val="003C26F4"/>
    <w:rsid w:val="003C2896"/>
    <w:rsid w:val="003C2B88"/>
    <w:rsid w:val="003C2C64"/>
    <w:rsid w:val="003C2E1D"/>
    <w:rsid w:val="003C2E29"/>
    <w:rsid w:val="003C2EE2"/>
    <w:rsid w:val="003C384B"/>
    <w:rsid w:val="003C4252"/>
    <w:rsid w:val="003C45D7"/>
    <w:rsid w:val="003C496B"/>
    <w:rsid w:val="003C4A2B"/>
    <w:rsid w:val="003C4B70"/>
    <w:rsid w:val="003C4C15"/>
    <w:rsid w:val="003C53B5"/>
    <w:rsid w:val="003C5576"/>
    <w:rsid w:val="003C5AAA"/>
    <w:rsid w:val="003C5ADA"/>
    <w:rsid w:val="003C6022"/>
    <w:rsid w:val="003C668A"/>
    <w:rsid w:val="003C6B61"/>
    <w:rsid w:val="003C6DA6"/>
    <w:rsid w:val="003C7188"/>
    <w:rsid w:val="003C75E3"/>
    <w:rsid w:val="003C7739"/>
    <w:rsid w:val="003C7825"/>
    <w:rsid w:val="003C791E"/>
    <w:rsid w:val="003C7D2B"/>
    <w:rsid w:val="003C7E5E"/>
    <w:rsid w:val="003D0125"/>
    <w:rsid w:val="003D0B00"/>
    <w:rsid w:val="003D0E64"/>
    <w:rsid w:val="003D1041"/>
    <w:rsid w:val="003D108C"/>
    <w:rsid w:val="003D12E2"/>
    <w:rsid w:val="003D1FC8"/>
    <w:rsid w:val="003D22EB"/>
    <w:rsid w:val="003D235C"/>
    <w:rsid w:val="003D23A5"/>
    <w:rsid w:val="003D2757"/>
    <w:rsid w:val="003D2878"/>
    <w:rsid w:val="003D31EE"/>
    <w:rsid w:val="003D342C"/>
    <w:rsid w:val="003D3785"/>
    <w:rsid w:val="003D38A9"/>
    <w:rsid w:val="003D38CA"/>
    <w:rsid w:val="003D3999"/>
    <w:rsid w:val="003D41D6"/>
    <w:rsid w:val="003D46BA"/>
    <w:rsid w:val="003D4875"/>
    <w:rsid w:val="003D4C77"/>
    <w:rsid w:val="003D575A"/>
    <w:rsid w:val="003D6017"/>
    <w:rsid w:val="003D679D"/>
    <w:rsid w:val="003D6AD6"/>
    <w:rsid w:val="003D6E60"/>
    <w:rsid w:val="003D6E84"/>
    <w:rsid w:val="003D6EF8"/>
    <w:rsid w:val="003D7205"/>
    <w:rsid w:val="003D77A0"/>
    <w:rsid w:val="003E01AC"/>
    <w:rsid w:val="003E02FF"/>
    <w:rsid w:val="003E0D55"/>
    <w:rsid w:val="003E0E58"/>
    <w:rsid w:val="003E1075"/>
    <w:rsid w:val="003E190A"/>
    <w:rsid w:val="003E190E"/>
    <w:rsid w:val="003E1A7C"/>
    <w:rsid w:val="003E1A86"/>
    <w:rsid w:val="003E1D0B"/>
    <w:rsid w:val="003E1D40"/>
    <w:rsid w:val="003E2A0E"/>
    <w:rsid w:val="003E2E38"/>
    <w:rsid w:val="003E2F19"/>
    <w:rsid w:val="003E2FD8"/>
    <w:rsid w:val="003E3543"/>
    <w:rsid w:val="003E3701"/>
    <w:rsid w:val="003E3EA2"/>
    <w:rsid w:val="003E4070"/>
    <w:rsid w:val="003E430D"/>
    <w:rsid w:val="003E44E8"/>
    <w:rsid w:val="003E4570"/>
    <w:rsid w:val="003E4DB6"/>
    <w:rsid w:val="003E5714"/>
    <w:rsid w:val="003E5872"/>
    <w:rsid w:val="003E5C3E"/>
    <w:rsid w:val="003E61F3"/>
    <w:rsid w:val="003E63FB"/>
    <w:rsid w:val="003E6C16"/>
    <w:rsid w:val="003E6D92"/>
    <w:rsid w:val="003E6F8A"/>
    <w:rsid w:val="003E726C"/>
    <w:rsid w:val="003E759F"/>
    <w:rsid w:val="003E780D"/>
    <w:rsid w:val="003F00C6"/>
    <w:rsid w:val="003F04E7"/>
    <w:rsid w:val="003F1025"/>
    <w:rsid w:val="003F1679"/>
    <w:rsid w:val="003F1725"/>
    <w:rsid w:val="003F19C4"/>
    <w:rsid w:val="003F19FD"/>
    <w:rsid w:val="003F202D"/>
    <w:rsid w:val="003F22A7"/>
    <w:rsid w:val="003F256D"/>
    <w:rsid w:val="003F275C"/>
    <w:rsid w:val="003F29C8"/>
    <w:rsid w:val="003F2DA9"/>
    <w:rsid w:val="003F3099"/>
    <w:rsid w:val="003F344C"/>
    <w:rsid w:val="003F3637"/>
    <w:rsid w:val="003F3AED"/>
    <w:rsid w:val="003F402D"/>
    <w:rsid w:val="003F4583"/>
    <w:rsid w:val="003F4C2F"/>
    <w:rsid w:val="003F508E"/>
    <w:rsid w:val="003F5652"/>
    <w:rsid w:val="003F57FA"/>
    <w:rsid w:val="003F5A2D"/>
    <w:rsid w:val="003F5EB5"/>
    <w:rsid w:val="003F5FC3"/>
    <w:rsid w:val="003F61F5"/>
    <w:rsid w:val="003F62AA"/>
    <w:rsid w:val="003F6357"/>
    <w:rsid w:val="003F653C"/>
    <w:rsid w:val="003F6673"/>
    <w:rsid w:val="003F6780"/>
    <w:rsid w:val="003F7329"/>
    <w:rsid w:val="003F7734"/>
    <w:rsid w:val="003F77EE"/>
    <w:rsid w:val="003F7D47"/>
    <w:rsid w:val="003F7F62"/>
    <w:rsid w:val="00400496"/>
    <w:rsid w:val="00400715"/>
    <w:rsid w:val="00400827"/>
    <w:rsid w:val="00400A70"/>
    <w:rsid w:val="0040150D"/>
    <w:rsid w:val="00401871"/>
    <w:rsid w:val="004018D5"/>
    <w:rsid w:val="00401BCA"/>
    <w:rsid w:val="00402060"/>
    <w:rsid w:val="0040221B"/>
    <w:rsid w:val="0040257D"/>
    <w:rsid w:val="004025A0"/>
    <w:rsid w:val="00402634"/>
    <w:rsid w:val="00402C42"/>
    <w:rsid w:val="00402EF9"/>
    <w:rsid w:val="004030C1"/>
    <w:rsid w:val="00403135"/>
    <w:rsid w:val="0040334C"/>
    <w:rsid w:val="004034EE"/>
    <w:rsid w:val="0040431B"/>
    <w:rsid w:val="004044C0"/>
    <w:rsid w:val="00404757"/>
    <w:rsid w:val="004059E9"/>
    <w:rsid w:val="00405AF3"/>
    <w:rsid w:val="00406004"/>
    <w:rsid w:val="004061FA"/>
    <w:rsid w:val="004062FD"/>
    <w:rsid w:val="0040667F"/>
    <w:rsid w:val="004068AE"/>
    <w:rsid w:val="00406DC0"/>
    <w:rsid w:val="00406EAF"/>
    <w:rsid w:val="0040716C"/>
    <w:rsid w:val="004073CA"/>
    <w:rsid w:val="004076CB"/>
    <w:rsid w:val="00407799"/>
    <w:rsid w:val="004078C7"/>
    <w:rsid w:val="00407AC6"/>
    <w:rsid w:val="00407D93"/>
    <w:rsid w:val="00407DD4"/>
    <w:rsid w:val="00407E12"/>
    <w:rsid w:val="00410639"/>
    <w:rsid w:val="004106FE"/>
    <w:rsid w:val="00411580"/>
    <w:rsid w:val="00411B64"/>
    <w:rsid w:val="00411BAE"/>
    <w:rsid w:val="0041264B"/>
    <w:rsid w:val="004129FF"/>
    <w:rsid w:val="004131D4"/>
    <w:rsid w:val="0041332F"/>
    <w:rsid w:val="004139CE"/>
    <w:rsid w:val="00413E52"/>
    <w:rsid w:val="004153BF"/>
    <w:rsid w:val="00415620"/>
    <w:rsid w:val="00415747"/>
    <w:rsid w:val="00415B4D"/>
    <w:rsid w:val="00415B8F"/>
    <w:rsid w:val="00415D54"/>
    <w:rsid w:val="00415E11"/>
    <w:rsid w:val="00416574"/>
    <w:rsid w:val="004166DD"/>
    <w:rsid w:val="00416763"/>
    <w:rsid w:val="0041689B"/>
    <w:rsid w:val="00416B0B"/>
    <w:rsid w:val="00416C28"/>
    <w:rsid w:val="00416F73"/>
    <w:rsid w:val="00417260"/>
    <w:rsid w:val="00417283"/>
    <w:rsid w:val="004173E1"/>
    <w:rsid w:val="0041746D"/>
    <w:rsid w:val="004175AE"/>
    <w:rsid w:val="00417793"/>
    <w:rsid w:val="00417860"/>
    <w:rsid w:val="004200BF"/>
    <w:rsid w:val="004200DA"/>
    <w:rsid w:val="00420242"/>
    <w:rsid w:val="004206C0"/>
    <w:rsid w:val="004206EF"/>
    <w:rsid w:val="004216F3"/>
    <w:rsid w:val="0042171D"/>
    <w:rsid w:val="0042239A"/>
    <w:rsid w:val="0042246D"/>
    <w:rsid w:val="00422655"/>
    <w:rsid w:val="004226CD"/>
    <w:rsid w:val="004235D8"/>
    <w:rsid w:val="00423D09"/>
    <w:rsid w:val="004240D2"/>
    <w:rsid w:val="0042447C"/>
    <w:rsid w:val="00424972"/>
    <w:rsid w:val="00424EA8"/>
    <w:rsid w:val="00425728"/>
    <w:rsid w:val="00425979"/>
    <w:rsid w:val="00425A77"/>
    <w:rsid w:val="00425AA9"/>
    <w:rsid w:val="00425B57"/>
    <w:rsid w:val="00425F51"/>
    <w:rsid w:val="004262C8"/>
    <w:rsid w:val="004263A9"/>
    <w:rsid w:val="00426CA7"/>
    <w:rsid w:val="00427246"/>
    <w:rsid w:val="00427DAC"/>
    <w:rsid w:val="00427DFA"/>
    <w:rsid w:val="004300D8"/>
    <w:rsid w:val="0043013C"/>
    <w:rsid w:val="00430179"/>
    <w:rsid w:val="00430184"/>
    <w:rsid w:val="00430269"/>
    <w:rsid w:val="004303A3"/>
    <w:rsid w:val="00430681"/>
    <w:rsid w:val="00430800"/>
    <w:rsid w:val="00430962"/>
    <w:rsid w:val="004309BA"/>
    <w:rsid w:val="00430BD3"/>
    <w:rsid w:val="00431047"/>
    <w:rsid w:val="004310F5"/>
    <w:rsid w:val="0043182E"/>
    <w:rsid w:val="00431DDE"/>
    <w:rsid w:val="00431ED1"/>
    <w:rsid w:val="00431F45"/>
    <w:rsid w:val="00432368"/>
    <w:rsid w:val="004325CB"/>
    <w:rsid w:val="00433028"/>
    <w:rsid w:val="004334C6"/>
    <w:rsid w:val="00433628"/>
    <w:rsid w:val="004337F5"/>
    <w:rsid w:val="00433B64"/>
    <w:rsid w:val="00433CBF"/>
    <w:rsid w:val="00433D76"/>
    <w:rsid w:val="004340ED"/>
    <w:rsid w:val="00434216"/>
    <w:rsid w:val="004349EC"/>
    <w:rsid w:val="00434B6A"/>
    <w:rsid w:val="00434B70"/>
    <w:rsid w:val="00434C73"/>
    <w:rsid w:val="0043580F"/>
    <w:rsid w:val="004362F3"/>
    <w:rsid w:val="004367BE"/>
    <w:rsid w:val="0043769C"/>
    <w:rsid w:val="004376AC"/>
    <w:rsid w:val="004376F4"/>
    <w:rsid w:val="004377E9"/>
    <w:rsid w:val="00437A44"/>
    <w:rsid w:val="00437B80"/>
    <w:rsid w:val="0044005C"/>
    <w:rsid w:val="00440712"/>
    <w:rsid w:val="00440E7B"/>
    <w:rsid w:val="00441012"/>
    <w:rsid w:val="00441236"/>
    <w:rsid w:val="00441512"/>
    <w:rsid w:val="00441CC7"/>
    <w:rsid w:val="00441DD8"/>
    <w:rsid w:val="004425D6"/>
    <w:rsid w:val="00442837"/>
    <w:rsid w:val="00442854"/>
    <w:rsid w:val="004428CC"/>
    <w:rsid w:val="00442BB5"/>
    <w:rsid w:val="00442C8D"/>
    <w:rsid w:val="00442D39"/>
    <w:rsid w:val="00442D60"/>
    <w:rsid w:val="004431DE"/>
    <w:rsid w:val="0044379E"/>
    <w:rsid w:val="00443804"/>
    <w:rsid w:val="00443916"/>
    <w:rsid w:val="00443C88"/>
    <w:rsid w:val="00443D9B"/>
    <w:rsid w:val="00443F1B"/>
    <w:rsid w:val="0044411F"/>
    <w:rsid w:val="0044446F"/>
    <w:rsid w:val="00444B81"/>
    <w:rsid w:val="00444DD1"/>
    <w:rsid w:val="004450DC"/>
    <w:rsid w:val="004453A0"/>
    <w:rsid w:val="004454C8"/>
    <w:rsid w:val="00445E83"/>
    <w:rsid w:val="004461D3"/>
    <w:rsid w:val="00446266"/>
    <w:rsid w:val="004463F8"/>
    <w:rsid w:val="00446C32"/>
    <w:rsid w:val="0044720F"/>
    <w:rsid w:val="00447565"/>
    <w:rsid w:val="004476FD"/>
    <w:rsid w:val="00447834"/>
    <w:rsid w:val="00447D9D"/>
    <w:rsid w:val="00447FE9"/>
    <w:rsid w:val="00450596"/>
    <w:rsid w:val="0045093F"/>
    <w:rsid w:val="00450F2C"/>
    <w:rsid w:val="004516BF"/>
    <w:rsid w:val="0045180A"/>
    <w:rsid w:val="004518FB"/>
    <w:rsid w:val="004519E7"/>
    <w:rsid w:val="0045201F"/>
    <w:rsid w:val="00452787"/>
    <w:rsid w:val="0045320C"/>
    <w:rsid w:val="004533FC"/>
    <w:rsid w:val="004543AF"/>
    <w:rsid w:val="004543E7"/>
    <w:rsid w:val="004548CF"/>
    <w:rsid w:val="0045530D"/>
    <w:rsid w:val="0045560D"/>
    <w:rsid w:val="00455657"/>
    <w:rsid w:val="0045569D"/>
    <w:rsid w:val="00455CA9"/>
    <w:rsid w:val="004562A3"/>
    <w:rsid w:val="0045646E"/>
    <w:rsid w:val="00456C0E"/>
    <w:rsid w:val="0045770D"/>
    <w:rsid w:val="00457982"/>
    <w:rsid w:val="004602C7"/>
    <w:rsid w:val="0046039B"/>
    <w:rsid w:val="00460455"/>
    <w:rsid w:val="00460698"/>
    <w:rsid w:val="004613FD"/>
    <w:rsid w:val="00461AEF"/>
    <w:rsid w:val="00462358"/>
    <w:rsid w:val="004623ED"/>
    <w:rsid w:val="004628E3"/>
    <w:rsid w:val="00462ABF"/>
    <w:rsid w:val="00462E76"/>
    <w:rsid w:val="00462ECC"/>
    <w:rsid w:val="00462F6D"/>
    <w:rsid w:val="00462F98"/>
    <w:rsid w:val="00463574"/>
    <w:rsid w:val="00463768"/>
    <w:rsid w:val="004638F1"/>
    <w:rsid w:val="00463C71"/>
    <w:rsid w:val="004641D3"/>
    <w:rsid w:val="00464A6D"/>
    <w:rsid w:val="0046502F"/>
    <w:rsid w:val="004654E5"/>
    <w:rsid w:val="004657A5"/>
    <w:rsid w:val="00465B17"/>
    <w:rsid w:val="00465B8F"/>
    <w:rsid w:val="00466190"/>
    <w:rsid w:val="00466192"/>
    <w:rsid w:val="00466EAB"/>
    <w:rsid w:val="00466F97"/>
    <w:rsid w:val="004675EC"/>
    <w:rsid w:val="00467CBC"/>
    <w:rsid w:val="00467E4A"/>
    <w:rsid w:val="00467E50"/>
    <w:rsid w:val="00467F21"/>
    <w:rsid w:val="00470076"/>
    <w:rsid w:val="004703AC"/>
    <w:rsid w:val="004705A1"/>
    <w:rsid w:val="004705D5"/>
    <w:rsid w:val="0047064A"/>
    <w:rsid w:val="00471561"/>
    <w:rsid w:val="0047170A"/>
    <w:rsid w:val="00471BD5"/>
    <w:rsid w:val="004721C2"/>
    <w:rsid w:val="004722B4"/>
    <w:rsid w:val="0047231A"/>
    <w:rsid w:val="00472766"/>
    <w:rsid w:val="00472C85"/>
    <w:rsid w:val="00472CC3"/>
    <w:rsid w:val="004731B9"/>
    <w:rsid w:val="00473644"/>
    <w:rsid w:val="004736BF"/>
    <w:rsid w:val="00473CDD"/>
    <w:rsid w:val="00473FF5"/>
    <w:rsid w:val="00474189"/>
    <w:rsid w:val="00474612"/>
    <w:rsid w:val="00474DBB"/>
    <w:rsid w:val="004752C3"/>
    <w:rsid w:val="00475CE7"/>
    <w:rsid w:val="00476031"/>
    <w:rsid w:val="0047643D"/>
    <w:rsid w:val="004767A6"/>
    <w:rsid w:val="00476A1C"/>
    <w:rsid w:val="00477298"/>
    <w:rsid w:val="00477677"/>
    <w:rsid w:val="004777F6"/>
    <w:rsid w:val="00480471"/>
    <w:rsid w:val="0048053A"/>
    <w:rsid w:val="004806B5"/>
    <w:rsid w:val="00481657"/>
    <w:rsid w:val="004817BE"/>
    <w:rsid w:val="0048196E"/>
    <w:rsid w:val="004819C0"/>
    <w:rsid w:val="00481DBB"/>
    <w:rsid w:val="00481EAC"/>
    <w:rsid w:val="00481F34"/>
    <w:rsid w:val="00482695"/>
    <w:rsid w:val="004828F1"/>
    <w:rsid w:val="00482B2F"/>
    <w:rsid w:val="00483017"/>
    <w:rsid w:val="00483168"/>
    <w:rsid w:val="004834F2"/>
    <w:rsid w:val="0048364B"/>
    <w:rsid w:val="004839A2"/>
    <w:rsid w:val="00483BB6"/>
    <w:rsid w:val="00483EF4"/>
    <w:rsid w:val="0048443F"/>
    <w:rsid w:val="00484476"/>
    <w:rsid w:val="00484533"/>
    <w:rsid w:val="004847B4"/>
    <w:rsid w:val="004849A2"/>
    <w:rsid w:val="00484D18"/>
    <w:rsid w:val="00485049"/>
    <w:rsid w:val="004852DA"/>
    <w:rsid w:val="00485AA2"/>
    <w:rsid w:val="00485CC3"/>
    <w:rsid w:val="00485D74"/>
    <w:rsid w:val="004863F4"/>
    <w:rsid w:val="0048683F"/>
    <w:rsid w:val="00486ED9"/>
    <w:rsid w:val="0048719F"/>
    <w:rsid w:val="004874EB"/>
    <w:rsid w:val="00487542"/>
    <w:rsid w:val="00487D2B"/>
    <w:rsid w:val="00487E48"/>
    <w:rsid w:val="0049060B"/>
    <w:rsid w:val="00490782"/>
    <w:rsid w:val="004909A4"/>
    <w:rsid w:val="00490B1F"/>
    <w:rsid w:val="00490E36"/>
    <w:rsid w:val="00490F41"/>
    <w:rsid w:val="00491BE4"/>
    <w:rsid w:val="00491F0A"/>
    <w:rsid w:val="0049227D"/>
    <w:rsid w:val="00492956"/>
    <w:rsid w:val="00493459"/>
    <w:rsid w:val="0049390B"/>
    <w:rsid w:val="00493982"/>
    <w:rsid w:val="00493DA7"/>
    <w:rsid w:val="0049437D"/>
    <w:rsid w:val="004943FC"/>
    <w:rsid w:val="004947E7"/>
    <w:rsid w:val="0049480F"/>
    <w:rsid w:val="00495189"/>
    <w:rsid w:val="004956FC"/>
    <w:rsid w:val="0049682D"/>
    <w:rsid w:val="0049689C"/>
    <w:rsid w:val="0049695D"/>
    <w:rsid w:val="00496A68"/>
    <w:rsid w:val="00496B8A"/>
    <w:rsid w:val="00496C83"/>
    <w:rsid w:val="00496D12"/>
    <w:rsid w:val="00497220"/>
    <w:rsid w:val="0049723E"/>
    <w:rsid w:val="00497768"/>
    <w:rsid w:val="00497CD3"/>
    <w:rsid w:val="004A0FC0"/>
    <w:rsid w:val="004A119E"/>
    <w:rsid w:val="004A1852"/>
    <w:rsid w:val="004A1A16"/>
    <w:rsid w:val="004A1AAD"/>
    <w:rsid w:val="004A205C"/>
    <w:rsid w:val="004A2231"/>
    <w:rsid w:val="004A2630"/>
    <w:rsid w:val="004A2AC5"/>
    <w:rsid w:val="004A2C57"/>
    <w:rsid w:val="004A36C4"/>
    <w:rsid w:val="004A3D5C"/>
    <w:rsid w:val="004A42F1"/>
    <w:rsid w:val="004A46C7"/>
    <w:rsid w:val="004A474C"/>
    <w:rsid w:val="004A4925"/>
    <w:rsid w:val="004A4B42"/>
    <w:rsid w:val="004A5299"/>
    <w:rsid w:val="004A550D"/>
    <w:rsid w:val="004A5547"/>
    <w:rsid w:val="004A71FD"/>
    <w:rsid w:val="004A7F60"/>
    <w:rsid w:val="004B066C"/>
    <w:rsid w:val="004B07E5"/>
    <w:rsid w:val="004B0934"/>
    <w:rsid w:val="004B0A43"/>
    <w:rsid w:val="004B0B25"/>
    <w:rsid w:val="004B0FA1"/>
    <w:rsid w:val="004B12D0"/>
    <w:rsid w:val="004B14C5"/>
    <w:rsid w:val="004B1A55"/>
    <w:rsid w:val="004B2380"/>
    <w:rsid w:val="004B29E5"/>
    <w:rsid w:val="004B2B54"/>
    <w:rsid w:val="004B307C"/>
    <w:rsid w:val="004B38B7"/>
    <w:rsid w:val="004B421D"/>
    <w:rsid w:val="004B4833"/>
    <w:rsid w:val="004B5142"/>
    <w:rsid w:val="004B516B"/>
    <w:rsid w:val="004B5334"/>
    <w:rsid w:val="004B545F"/>
    <w:rsid w:val="004B54D0"/>
    <w:rsid w:val="004B56F6"/>
    <w:rsid w:val="004B5C5D"/>
    <w:rsid w:val="004B5C8E"/>
    <w:rsid w:val="004B5D9A"/>
    <w:rsid w:val="004B6160"/>
    <w:rsid w:val="004B63E2"/>
    <w:rsid w:val="004B666B"/>
    <w:rsid w:val="004B6691"/>
    <w:rsid w:val="004B6A34"/>
    <w:rsid w:val="004B6C4A"/>
    <w:rsid w:val="004B6D7B"/>
    <w:rsid w:val="004B719D"/>
    <w:rsid w:val="004B74FD"/>
    <w:rsid w:val="004B761E"/>
    <w:rsid w:val="004B7ABA"/>
    <w:rsid w:val="004C019B"/>
    <w:rsid w:val="004C01FB"/>
    <w:rsid w:val="004C0CEC"/>
    <w:rsid w:val="004C1A31"/>
    <w:rsid w:val="004C1E73"/>
    <w:rsid w:val="004C1F2C"/>
    <w:rsid w:val="004C2314"/>
    <w:rsid w:val="004C26CE"/>
    <w:rsid w:val="004C2D24"/>
    <w:rsid w:val="004C2DB3"/>
    <w:rsid w:val="004C2F2A"/>
    <w:rsid w:val="004C2FA8"/>
    <w:rsid w:val="004C330F"/>
    <w:rsid w:val="004C3E6C"/>
    <w:rsid w:val="004C3F61"/>
    <w:rsid w:val="004C416C"/>
    <w:rsid w:val="004C4A1B"/>
    <w:rsid w:val="004C4C3C"/>
    <w:rsid w:val="004C5109"/>
    <w:rsid w:val="004C5523"/>
    <w:rsid w:val="004C6146"/>
    <w:rsid w:val="004C64EB"/>
    <w:rsid w:val="004C6C08"/>
    <w:rsid w:val="004C6D0E"/>
    <w:rsid w:val="004C6F4D"/>
    <w:rsid w:val="004C7474"/>
    <w:rsid w:val="004C788F"/>
    <w:rsid w:val="004C7A3D"/>
    <w:rsid w:val="004C7BA1"/>
    <w:rsid w:val="004C7F17"/>
    <w:rsid w:val="004D02B6"/>
    <w:rsid w:val="004D033F"/>
    <w:rsid w:val="004D06B0"/>
    <w:rsid w:val="004D0BB5"/>
    <w:rsid w:val="004D141C"/>
    <w:rsid w:val="004D168C"/>
    <w:rsid w:val="004D1AEA"/>
    <w:rsid w:val="004D1CF7"/>
    <w:rsid w:val="004D28C4"/>
    <w:rsid w:val="004D2BD8"/>
    <w:rsid w:val="004D2C2F"/>
    <w:rsid w:val="004D2CAB"/>
    <w:rsid w:val="004D3077"/>
    <w:rsid w:val="004D3672"/>
    <w:rsid w:val="004D36E2"/>
    <w:rsid w:val="004D39D2"/>
    <w:rsid w:val="004D3B6E"/>
    <w:rsid w:val="004D3F62"/>
    <w:rsid w:val="004D459F"/>
    <w:rsid w:val="004D4794"/>
    <w:rsid w:val="004D4C3C"/>
    <w:rsid w:val="004D4DFC"/>
    <w:rsid w:val="004D530A"/>
    <w:rsid w:val="004D534E"/>
    <w:rsid w:val="004D5375"/>
    <w:rsid w:val="004D5748"/>
    <w:rsid w:val="004D5CE9"/>
    <w:rsid w:val="004D5D8E"/>
    <w:rsid w:val="004D617A"/>
    <w:rsid w:val="004D64DB"/>
    <w:rsid w:val="004D672B"/>
    <w:rsid w:val="004D6762"/>
    <w:rsid w:val="004D68F8"/>
    <w:rsid w:val="004D6D8B"/>
    <w:rsid w:val="004D71E8"/>
    <w:rsid w:val="004D7343"/>
    <w:rsid w:val="004D765D"/>
    <w:rsid w:val="004D7872"/>
    <w:rsid w:val="004D79C8"/>
    <w:rsid w:val="004D7A66"/>
    <w:rsid w:val="004E04AC"/>
    <w:rsid w:val="004E07D2"/>
    <w:rsid w:val="004E07D5"/>
    <w:rsid w:val="004E08AC"/>
    <w:rsid w:val="004E19D6"/>
    <w:rsid w:val="004E1AB5"/>
    <w:rsid w:val="004E1ABE"/>
    <w:rsid w:val="004E1AD6"/>
    <w:rsid w:val="004E1D04"/>
    <w:rsid w:val="004E25E7"/>
    <w:rsid w:val="004E26A6"/>
    <w:rsid w:val="004E324D"/>
    <w:rsid w:val="004E355B"/>
    <w:rsid w:val="004E399F"/>
    <w:rsid w:val="004E39D3"/>
    <w:rsid w:val="004E4222"/>
    <w:rsid w:val="004E4256"/>
    <w:rsid w:val="004E42F6"/>
    <w:rsid w:val="004E4537"/>
    <w:rsid w:val="004E4819"/>
    <w:rsid w:val="004E48C7"/>
    <w:rsid w:val="004E4C0E"/>
    <w:rsid w:val="004E4CA0"/>
    <w:rsid w:val="004E4E71"/>
    <w:rsid w:val="004E520C"/>
    <w:rsid w:val="004E5956"/>
    <w:rsid w:val="004E61C0"/>
    <w:rsid w:val="004E64E2"/>
    <w:rsid w:val="004E64FE"/>
    <w:rsid w:val="004E67AF"/>
    <w:rsid w:val="004E6C53"/>
    <w:rsid w:val="004E7148"/>
    <w:rsid w:val="004E7163"/>
    <w:rsid w:val="004E7D0E"/>
    <w:rsid w:val="004F0365"/>
    <w:rsid w:val="004F0724"/>
    <w:rsid w:val="004F0B9B"/>
    <w:rsid w:val="004F0CE0"/>
    <w:rsid w:val="004F0E8D"/>
    <w:rsid w:val="004F0F8C"/>
    <w:rsid w:val="004F1627"/>
    <w:rsid w:val="004F18F5"/>
    <w:rsid w:val="004F1D49"/>
    <w:rsid w:val="004F1E69"/>
    <w:rsid w:val="004F2198"/>
    <w:rsid w:val="004F25CE"/>
    <w:rsid w:val="004F3023"/>
    <w:rsid w:val="004F3CBC"/>
    <w:rsid w:val="004F3F8A"/>
    <w:rsid w:val="004F411F"/>
    <w:rsid w:val="004F4213"/>
    <w:rsid w:val="004F445D"/>
    <w:rsid w:val="004F45DC"/>
    <w:rsid w:val="004F4876"/>
    <w:rsid w:val="004F492F"/>
    <w:rsid w:val="004F4BFE"/>
    <w:rsid w:val="004F5A09"/>
    <w:rsid w:val="004F5B9A"/>
    <w:rsid w:val="004F6745"/>
    <w:rsid w:val="004F6955"/>
    <w:rsid w:val="004F6C18"/>
    <w:rsid w:val="004F6C7E"/>
    <w:rsid w:val="004F6CCB"/>
    <w:rsid w:val="004F7089"/>
    <w:rsid w:val="004F74FF"/>
    <w:rsid w:val="004F75EB"/>
    <w:rsid w:val="004F77A2"/>
    <w:rsid w:val="004F7C94"/>
    <w:rsid w:val="004F7D61"/>
    <w:rsid w:val="004F7E78"/>
    <w:rsid w:val="005001F1"/>
    <w:rsid w:val="005002F1"/>
    <w:rsid w:val="005003BF"/>
    <w:rsid w:val="0050076B"/>
    <w:rsid w:val="0050079C"/>
    <w:rsid w:val="00500846"/>
    <w:rsid w:val="00500878"/>
    <w:rsid w:val="00500CFC"/>
    <w:rsid w:val="00500E92"/>
    <w:rsid w:val="0050163C"/>
    <w:rsid w:val="00501729"/>
    <w:rsid w:val="00501E69"/>
    <w:rsid w:val="00501E94"/>
    <w:rsid w:val="005023C9"/>
    <w:rsid w:val="005025BB"/>
    <w:rsid w:val="00502EA5"/>
    <w:rsid w:val="005034F4"/>
    <w:rsid w:val="0050362A"/>
    <w:rsid w:val="0050394E"/>
    <w:rsid w:val="00503B16"/>
    <w:rsid w:val="00503E16"/>
    <w:rsid w:val="00503E76"/>
    <w:rsid w:val="0050435F"/>
    <w:rsid w:val="00504B9C"/>
    <w:rsid w:val="00504E75"/>
    <w:rsid w:val="00504F8E"/>
    <w:rsid w:val="00505220"/>
    <w:rsid w:val="005053F2"/>
    <w:rsid w:val="00505529"/>
    <w:rsid w:val="00505B37"/>
    <w:rsid w:val="005061CB"/>
    <w:rsid w:val="0050645B"/>
    <w:rsid w:val="00506C5F"/>
    <w:rsid w:val="00506C65"/>
    <w:rsid w:val="00506E25"/>
    <w:rsid w:val="00506EFF"/>
    <w:rsid w:val="005072C8"/>
    <w:rsid w:val="00507DBB"/>
    <w:rsid w:val="00510AFB"/>
    <w:rsid w:val="005114EA"/>
    <w:rsid w:val="00511B85"/>
    <w:rsid w:val="00511D5A"/>
    <w:rsid w:val="00511D82"/>
    <w:rsid w:val="00511DF5"/>
    <w:rsid w:val="0051207E"/>
    <w:rsid w:val="00512834"/>
    <w:rsid w:val="005129D3"/>
    <w:rsid w:val="00512C93"/>
    <w:rsid w:val="00512D32"/>
    <w:rsid w:val="005133C0"/>
    <w:rsid w:val="005133CE"/>
    <w:rsid w:val="00513501"/>
    <w:rsid w:val="00513513"/>
    <w:rsid w:val="005135A3"/>
    <w:rsid w:val="005141D5"/>
    <w:rsid w:val="005146AB"/>
    <w:rsid w:val="00514BFE"/>
    <w:rsid w:val="005150C2"/>
    <w:rsid w:val="005152AC"/>
    <w:rsid w:val="00515813"/>
    <w:rsid w:val="00515864"/>
    <w:rsid w:val="00515ABF"/>
    <w:rsid w:val="00516B17"/>
    <w:rsid w:val="00516BD0"/>
    <w:rsid w:val="00516F36"/>
    <w:rsid w:val="0051701C"/>
    <w:rsid w:val="00517024"/>
    <w:rsid w:val="00517507"/>
    <w:rsid w:val="00517885"/>
    <w:rsid w:val="00517967"/>
    <w:rsid w:val="005179F2"/>
    <w:rsid w:val="00517BFE"/>
    <w:rsid w:val="00517DFA"/>
    <w:rsid w:val="005206A6"/>
    <w:rsid w:val="00520A46"/>
    <w:rsid w:val="00520D49"/>
    <w:rsid w:val="00520E65"/>
    <w:rsid w:val="00520EC7"/>
    <w:rsid w:val="00521587"/>
    <w:rsid w:val="0052167B"/>
    <w:rsid w:val="00521E14"/>
    <w:rsid w:val="00521F7A"/>
    <w:rsid w:val="005222B6"/>
    <w:rsid w:val="00522639"/>
    <w:rsid w:val="00522763"/>
    <w:rsid w:val="00522804"/>
    <w:rsid w:val="00522CDC"/>
    <w:rsid w:val="00522EB1"/>
    <w:rsid w:val="00524138"/>
    <w:rsid w:val="00524208"/>
    <w:rsid w:val="005242A8"/>
    <w:rsid w:val="005244DC"/>
    <w:rsid w:val="005248B9"/>
    <w:rsid w:val="00524A6F"/>
    <w:rsid w:val="00524C5B"/>
    <w:rsid w:val="00525227"/>
    <w:rsid w:val="005254B5"/>
    <w:rsid w:val="00525AE9"/>
    <w:rsid w:val="00526271"/>
    <w:rsid w:val="005263E1"/>
    <w:rsid w:val="00526866"/>
    <w:rsid w:val="00526A39"/>
    <w:rsid w:val="005277D9"/>
    <w:rsid w:val="005277EC"/>
    <w:rsid w:val="00527B01"/>
    <w:rsid w:val="00527BBC"/>
    <w:rsid w:val="00527C97"/>
    <w:rsid w:val="0053018B"/>
    <w:rsid w:val="00530465"/>
    <w:rsid w:val="005304FD"/>
    <w:rsid w:val="005304FE"/>
    <w:rsid w:val="005309D5"/>
    <w:rsid w:val="00530FD0"/>
    <w:rsid w:val="00531946"/>
    <w:rsid w:val="00531BAB"/>
    <w:rsid w:val="0053291B"/>
    <w:rsid w:val="00533507"/>
    <w:rsid w:val="00533509"/>
    <w:rsid w:val="005339D0"/>
    <w:rsid w:val="00533A6F"/>
    <w:rsid w:val="00533ADB"/>
    <w:rsid w:val="00533EC0"/>
    <w:rsid w:val="0053434B"/>
    <w:rsid w:val="00534556"/>
    <w:rsid w:val="00534B3E"/>
    <w:rsid w:val="00534EDE"/>
    <w:rsid w:val="00535B0D"/>
    <w:rsid w:val="005362A3"/>
    <w:rsid w:val="00536D05"/>
    <w:rsid w:val="00537113"/>
    <w:rsid w:val="005371BC"/>
    <w:rsid w:val="005375A2"/>
    <w:rsid w:val="005378DE"/>
    <w:rsid w:val="00537CE3"/>
    <w:rsid w:val="005401E2"/>
    <w:rsid w:val="0054037B"/>
    <w:rsid w:val="005408EC"/>
    <w:rsid w:val="00540935"/>
    <w:rsid w:val="005409F0"/>
    <w:rsid w:val="00540D95"/>
    <w:rsid w:val="00540F13"/>
    <w:rsid w:val="0054129F"/>
    <w:rsid w:val="00541ED3"/>
    <w:rsid w:val="00542A14"/>
    <w:rsid w:val="0054331E"/>
    <w:rsid w:val="005435F1"/>
    <w:rsid w:val="00543954"/>
    <w:rsid w:val="0054404A"/>
    <w:rsid w:val="0054414E"/>
    <w:rsid w:val="00544217"/>
    <w:rsid w:val="0054456C"/>
    <w:rsid w:val="00544B6A"/>
    <w:rsid w:val="00544C03"/>
    <w:rsid w:val="005462B7"/>
    <w:rsid w:val="0054663E"/>
    <w:rsid w:val="00546864"/>
    <w:rsid w:val="00546B1C"/>
    <w:rsid w:val="0054713E"/>
    <w:rsid w:val="005471FD"/>
    <w:rsid w:val="005475E3"/>
    <w:rsid w:val="00547C16"/>
    <w:rsid w:val="00547E00"/>
    <w:rsid w:val="00547EE4"/>
    <w:rsid w:val="00547F6E"/>
    <w:rsid w:val="0055046B"/>
    <w:rsid w:val="005505DC"/>
    <w:rsid w:val="00550623"/>
    <w:rsid w:val="0055072F"/>
    <w:rsid w:val="0055076A"/>
    <w:rsid w:val="00550895"/>
    <w:rsid w:val="00550DA4"/>
    <w:rsid w:val="00551348"/>
    <w:rsid w:val="00551378"/>
    <w:rsid w:val="0055141B"/>
    <w:rsid w:val="00551816"/>
    <w:rsid w:val="00551CB2"/>
    <w:rsid w:val="00552632"/>
    <w:rsid w:val="00552D48"/>
    <w:rsid w:val="00553174"/>
    <w:rsid w:val="00553819"/>
    <w:rsid w:val="00554017"/>
    <w:rsid w:val="005546F0"/>
    <w:rsid w:val="005550D5"/>
    <w:rsid w:val="005551F6"/>
    <w:rsid w:val="00555659"/>
    <w:rsid w:val="00555ABF"/>
    <w:rsid w:val="00555BC9"/>
    <w:rsid w:val="005562E6"/>
    <w:rsid w:val="0055683C"/>
    <w:rsid w:val="00556DD7"/>
    <w:rsid w:val="00556F4F"/>
    <w:rsid w:val="005571DE"/>
    <w:rsid w:val="00557754"/>
    <w:rsid w:val="005579F1"/>
    <w:rsid w:val="00557DB0"/>
    <w:rsid w:val="00557DE6"/>
    <w:rsid w:val="00557EFA"/>
    <w:rsid w:val="00557F02"/>
    <w:rsid w:val="00560208"/>
    <w:rsid w:val="00560331"/>
    <w:rsid w:val="00560374"/>
    <w:rsid w:val="0056058C"/>
    <w:rsid w:val="00560A95"/>
    <w:rsid w:val="00561071"/>
    <w:rsid w:val="005611A7"/>
    <w:rsid w:val="00561841"/>
    <w:rsid w:val="005618F2"/>
    <w:rsid w:val="00561B16"/>
    <w:rsid w:val="00561FEA"/>
    <w:rsid w:val="0056205A"/>
    <w:rsid w:val="005622E7"/>
    <w:rsid w:val="005624C6"/>
    <w:rsid w:val="00562613"/>
    <w:rsid w:val="00562AD1"/>
    <w:rsid w:val="00562BAA"/>
    <w:rsid w:val="00563409"/>
    <w:rsid w:val="00563759"/>
    <w:rsid w:val="005638FF"/>
    <w:rsid w:val="00563A79"/>
    <w:rsid w:val="00563E62"/>
    <w:rsid w:val="005641DE"/>
    <w:rsid w:val="00564436"/>
    <w:rsid w:val="00564671"/>
    <w:rsid w:val="00564EB1"/>
    <w:rsid w:val="0056542C"/>
    <w:rsid w:val="005654AD"/>
    <w:rsid w:val="0056553B"/>
    <w:rsid w:val="00565699"/>
    <w:rsid w:val="00566360"/>
    <w:rsid w:val="0056738C"/>
    <w:rsid w:val="005677D9"/>
    <w:rsid w:val="00567AD8"/>
    <w:rsid w:val="00567C57"/>
    <w:rsid w:val="00567E22"/>
    <w:rsid w:val="0057011E"/>
    <w:rsid w:val="005703FB"/>
    <w:rsid w:val="00570598"/>
    <w:rsid w:val="0057088B"/>
    <w:rsid w:val="00570D09"/>
    <w:rsid w:val="00570D1A"/>
    <w:rsid w:val="00570FCD"/>
    <w:rsid w:val="005710DE"/>
    <w:rsid w:val="00571216"/>
    <w:rsid w:val="00571606"/>
    <w:rsid w:val="00571AF6"/>
    <w:rsid w:val="00571FB3"/>
    <w:rsid w:val="00572111"/>
    <w:rsid w:val="005722CA"/>
    <w:rsid w:val="00572744"/>
    <w:rsid w:val="005729DE"/>
    <w:rsid w:val="00572B75"/>
    <w:rsid w:val="0057333A"/>
    <w:rsid w:val="0057373D"/>
    <w:rsid w:val="00573A3F"/>
    <w:rsid w:val="00573D4C"/>
    <w:rsid w:val="00573EAF"/>
    <w:rsid w:val="005744F2"/>
    <w:rsid w:val="00574786"/>
    <w:rsid w:val="00575868"/>
    <w:rsid w:val="0057589E"/>
    <w:rsid w:val="00575AAD"/>
    <w:rsid w:val="00575B0E"/>
    <w:rsid w:val="00575C15"/>
    <w:rsid w:val="00576621"/>
    <w:rsid w:val="0057678B"/>
    <w:rsid w:val="00576890"/>
    <w:rsid w:val="00576AEF"/>
    <w:rsid w:val="00576AF0"/>
    <w:rsid w:val="00576B15"/>
    <w:rsid w:val="0057709B"/>
    <w:rsid w:val="0057726F"/>
    <w:rsid w:val="00577290"/>
    <w:rsid w:val="005778FA"/>
    <w:rsid w:val="00577D2F"/>
    <w:rsid w:val="00580004"/>
    <w:rsid w:val="005803B4"/>
    <w:rsid w:val="005804D5"/>
    <w:rsid w:val="005806E6"/>
    <w:rsid w:val="005806FE"/>
    <w:rsid w:val="00580906"/>
    <w:rsid w:val="00580CF5"/>
    <w:rsid w:val="00581232"/>
    <w:rsid w:val="00581891"/>
    <w:rsid w:val="00581EBC"/>
    <w:rsid w:val="00582373"/>
    <w:rsid w:val="0058246C"/>
    <w:rsid w:val="0058288A"/>
    <w:rsid w:val="00582893"/>
    <w:rsid w:val="005828F3"/>
    <w:rsid w:val="00582C67"/>
    <w:rsid w:val="00582EAE"/>
    <w:rsid w:val="00582FBA"/>
    <w:rsid w:val="005833A4"/>
    <w:rsid w:val="005837AC"/>
    <w:rsid w:val="0058391F"/>
    <w:rsid w:val="00583B20"/>
    <w:rsid w:val="00584496"/>
    <w:rsid w:val="005849DE"/>
    <w:rsid w:val="00584DCC"/>
    <w:rsid w:val="0058585A"/>
    <w:rsid w:val="00585947"/>
    <w:rsid w:val="00585B41"/>
    <w:rsid w:val="00585EAB"/>
    <w:rsid w:val="0058605D"/>
    <w:rsid w:val="00586253"/>
    <w:rsid w:val="00586478"/>
    <w:rsid w:val="0058659C"/>
    <w:rsid w:val="005865A5"/>
    <w:rsid w:val="00586730"/>
    <w:rsid w:val="0058684C"/>
    <w:rsid w:val="00586A94"/>
    <w:rsid w:val="005870A9"/>
    <w:rsid w:val="00587154"/>
    <w:rsid w:val="00587BAD"/>
    <w:rsid w:val="00587F6A"/>
    <w:rsid w:val="0059004D"/>
    <w:rsid w:val="0059009D"/>
    <w:rsid w:val="00591001"/>
    <w:rsid w:val="00591668"/>
    <w:rsid w:val="00592390"/>
    <w:rsid w:val="00592949"/>
    <w:rsid w:val="005929D6"/>
    <w:rsid w:val="005929F3"/>
    <w:rsid w:val="00593222"/>
    <w:rsid w:val="005932BD"/>
    <w:rsid w:val="005937FA"/>
    <w:rsid w:val="005939C7"/>
    <w:rsid w:val="00593B0B"/>
    <w:rsid w:val="00594F93"/>
    <w:rsid w:val="0059532C"/>
    <w:rsid w:val="0059583E"/>
    <w:rsid w:val="005960D4"/>
    <w:rsid w:val="00596169"/>
    <w:rsid w:val="00596C40"/>
    <w:rsid w:val="00596D25"/>
    <w:rsid w:val="0059758E"/>
    <w:rsid w:val="00597DAD"/>
    <w:rsid w:val="005A0CD8"/>
    <w:rsid w:val="005A0DE1"/>
    <w:rsid w:val="005A123E"/>
    <w:rsid w:val="005A1274"/>
    <w:rsid w:val="005A161A"/>
    <w:rsid w:val="005A17BC"/>
    <w:rsid w:val="005A1A49"/>
    <w:rsid w:val="005A255C"/>
    <w:rsid w:val="005A25C4"/>
    <w:rsid w:val="005A2C5B"/>
    <w:rsid w:val="005A2F52"/>
    <w:rsid w:val="005A3A1D"/>
    <w:rsid w:val="005A4184"/>
    <w:rsid w:val="005A4C29"/>
    <w:rsid w:val="005A4D88"/>
    <w:rsid w:val="005A4F70"/>
    <w:rsid w:val="005A5442"/>
    <w:rsid w:val="005A5456"/>
    <w:rsid w:val="005A5950"/>
    <w:rsid w:val="005A5B7C"/>
    <w:rsid w:val="005A5EC1"/>
    <w:rsid w:val="005A6C08"/>
    <w:rsid w:val="005A6EDC"/>
    <w:rsid w:val="005A6F04"/>
    <w:rsid w:val="005A7256"/>
    <w:rsid w:val="005A726F"/>
    <w:rsid w:val="005A78DA"/>
    <w:rsid w:val="005A79AB"/>
    <w:rsid w:val="005A79FF"/>
    <w:rsid w:val="005A7A67"/>
    <w:rsid w:val="005A7E94"/>
    <w:rsid w:val="005B07CE"/>
    <w:rsid w:val="005B0867"/>
    <w:rsid w:val="005B0C8F"/>
    <w:rsid w:val="005B10D8"/>
    <w:rsid w:val="005B1359"/>
    <w:rsid w:val="005B149C"/>
    <w:rsid w:val="005B1812"/>
    <w:rsid w:val="005B1C3F"/>
    <w:rsid w:val="005B1F57"/>
    <w:rsid w:val="005B2179"/>
    <w:rsid w:val="005B2388"/>
    <w:rsid w:val="005B25B6"/>
    <w:rsid w:val="005B288D"/>
    <w:rsid w:val="005B2C2D"/>
    <w:rsid w:val="005B3065"/>
    <w:rsid w:val="005B37F6"/>
    <w:rsid w:val="005B3875"/>
    <w:rsid w:val="005B390F"/>
    <w:rsid w:val="005B3D22"/>
    <w:rsid w:val="005B3E71"/>
    <w:rsid w:val="005B4530"/>
    <w:rsid w:val="005B4832"/>
    <w:rsid w:val="005B4A00"/>
    <w:rsid w:val="005B52A1"/>
    <w:rsid w:val="005B5561"/>
    <w:rsid w:val="005B5576"/>
    <w:rsid w:val="005B55CC"/>
    <w:rsid w:val="005B5E43"/>
    <w:rsid w:val="005B5E9B"/>
    <w:rsid w:val="005B5FD8"/>
    <w:rsid w:val="005B5FDC"/>
    <w:rsid w:val="005B69A5"/>
    <w:rsid w:val="005B6C1F"/>
    <w:rsid w:val="005B6EBA"/>
    <w:rsid w:val="005B70E5"/>
    <w:rsid w:val="005B773F"/>
    <w:rsid w:val="005B7E45"/>
    <w:rsid w:val="005C02A3"/>
    <w:rsid w:val="005C091D"/>
    <w:rsid w:val="005C11E7"/>
    <w:rsid w:val="005C13C2"/>
    <w:rsid w:val="005C1C90"/>
    <w:rsid w:val="005C2085"/>
    <w:rsid w:val="005C2841"/>
    <w:rsid w:val="005C2E78"/>
    <w:rsid w:val="005C31C4"/>
    <w:rsid w:val="005C3379"/>
    <w:rsid w:val="005C3667"/>
    <w:rsid w:val="005C3781"/>
    <w:rsid w:val="005C3A69"/>
    <w:rsid w:val="005C3CBE"/>
    <w:rsid w:val="005C3E1D"/>
    <w:rsid w:val="005C3E29"/>
    <w:rsid w:val="005C4081"/>
    <w:rsid w:val="005C48A2"/>
    <w:rsid w:val="005C4ED5"/>
    <w:rsid w:val="005C5012"/>
    <w:rsid w:val="005C5110"/>
    <w:rsid w:val="005C59A8"/>
    <w:rsid w:val="005C6134"/>
    <w:rsid w:val="005C61D9"/>
    <w:rsid w:val="005C64BF"/>
    <w:rsid w:val="005C6705"/>
    <w:rsid w:val="005C67ED"/>
    <w:rsid w:val="005C7F8F"/>
    <w:rsid w:val="005D018E"/>
    <w:rsid w:val="005D0B69"/>
    <w:rsid w:val="005D0FF1"/>
    <w:rsid w:val="005D156B"/>
    <w:rsid w:val="005D1B4C"/>
    <w:rsid w:val="005D1B88"/>
    <w:rsid w:val="005D1C90"/>
    <w:rsid w:val="005D2424"/>
    <w:rsid w:val="005D2BCA"/>
    <w:rsid w:val="005D2DBB"/>
    <w:rsid w:val="005D2EC4"/>
    <w:rsid w:val="005D2F40"/>
    <w:rsid w:val="005D31B3"/>
    <w:rsid w:val="005D3361"/>
    <w:rsid w:val="005D3853"/>
    <w:rsid w:val="005D38CA"/>
    <w:rsid w:val="005D397B"/>
    <w:rsid w:val="005D3A04"/>
    <w:rsid w:val="005D3DFE"/>
    <w:rsid w:val="005D40B4"/>
    <w:rsid w:val="005D4203"/>
    <w:rsid w:val="005D4310"/>
    <w:rsid w:val="005D48C2"/>
    <w:rsid w:val="005D4CFD"/>
    <w:rsid w:val="005D4D10"/>
    <w:rsid w:val="005D5DC4"/>
    <w:rsid w:val="005D5FB4"/>
    <w:rsid w:val="005D628C"/>
    <w:rsid w:val="005D62D2"/>
    <w:rsid w:val="005D657E"/>
    <w:rsid w:val="005D6AB4"/>
    <w:rsid w:val="005D6D0C"/>
    <w:rsid w:val="005D6D80"/>
    <w:rsid w:val="005D75B7"/>
    <w:rsid w:val="005D7B57"/>
    <w:rsid w:val="005E0D25"/>
    <w:rsid w:val="005E0DE7"/>
    <w:rsid w:val="005E112F"/>
    <w:rsid w:val="005E11A2"/>
    <w:rsid w:val="005E1E9B"/>
    <w:rsid w:val="005E2A7F"/>
    <w:rsid w:val="005E2CDC"/>
    <w:rsid w:val="005E2EC8"/>
    <w:rsid w:val="005E2F41"/>
    <w:rsid w:val="005E3092"/>
    <w:rsid w:val="005E320A"/>
    <w:rsid w:val="005E32D0"/>
    <w:rsid w:val="005E35F6"/>
    <w:rsid w:val="005E35FA"/>
    <w:rsid w:val="005E3CED"/>
    <w:rsid w:val="005E4429"/>
    <w:rsid w:val="005E465F"/>
    <w:rsid w:val="005E4E2D"/>
    <w:rsid w:val="005E5267"/>
    <w:rsid w:val="005E529D"/>
    <w:rsid w:val="005E53DC"/>
    <w:rsid w:val="005E55A9"/>
    <w:rsid w:val="005E5A0A"/>
    <w:rsid w:val="005E5BE5"/>
    <w:rsid w:val="005E5F04"/>
    <w:rsid w:val="005E5F98"/>
    <w:rsid w:val="005E6013"/>
    <w:rsid w:val="005E668A"/>
    <w:rsid w:val="005E6746"/>
    <w:rsid w:val="005E6AB9"/>
    <w:rsid w:val="005E6DFD"/>
    <w:rsid w:val="005E6F81"/>
    <w:rsid w:val="005E71E5"/>
    <w:rsid w:val="005E71ED"/>
    <w:rsid w:val="005E7409"/>
    <w:rsid w:val="005E74CB"/>
    <w:rsid w:val="005E762B"/>
    <w:rsid w:val="005E7AE7"/>
    <w:rsid w:val="005E7AF7"/>
    <w:rsid w:val="005F0029"/>
    <w:rsid w:val="005F0082"/>
    <w:rsid w:val="005F0229"/>
    <w:rsid w:val="005F0E09"/>
    <w:rsid w:val="005F175D"/>
    <w:rsid w:val="005F1BC0"/>
    <w:rsid w:val="005F25AD"/>
    <w:rsid w:val="005F29BC"/>
    <w:rsid w:val="005F34BF"/>
    <w:rsid w:val="005F34D4"/>
    <w:rsid w:val="005F350D"/>
    <w:rsid w:val="005F55C4"/>
    <w:rsid w:val="005F56E5"/>
    <w:rsid w:val="005F5724"/>
    <w:rsid w:val="005F5EEC"/>
    <w:rsid w:val="005F6114"/>
    <w:rsid w:val="005F63FB"/>
    <w:rsid w:val="005F6819"/>
    <w:rsid w:val="005F686D"/>
    <w:rsid w:val="005F6D39"/>
    <w:rsid w:val="005F6FF3"/>
    <w:rsid w:val="005F71E3"/>
    <w:rsid w:val="005F7364"/>
    <w:rsid w:val="00600088"/>
    <w:rsid w:val="00600175"/>
    <w:rsid w:val="00600219"/>
    <w:rsid w:val="006003C5"/>
    <w:rsid w:val="00600F74"/>
    <w:rsid w:val="006012B2"/>
    <w:rsid w:val="0060140A"/>
    <w:rsid w:val="0060194F"/>
    <w:rsid w:val="00601E84"/>
    <w:rsid w:val="006020B4"/>
    <w:rsid w:val="006026FA"/>
    <w:rsid w:val="00602AA7"/>
    <w:rsid w:val="00602BD4"/>
    <w:rsid w:val="00602C3B"/>
    <w:rsid w:val="00602EBF"/>
    <w:rsid w:val="006038E9"/>
    <w:rsid w:val="006039A4"/>
    <w:rsid w:val="00603BA5"/>
    <w:rsid w:val="00603C45"/>
    <w:rsid w:val="00603F30"/>
    <w:rsid w:val="006040C5"/>
    <w:rsid w:val="00604209"/>
    <w:rsid w:val="0060451A"/>
    <w:rsid w:val="0060481E"/>
    <w:rsid w:val="00604998"/>
    <w:rsid w:val="00604C50"/>
    <w:rsid w:val="00605086"/>
    <w:rsid w:val="0060546A"/>
    <w:rsid w:val="0060582D"/>
    <w:rsid w:val="006065D4"/>
    <w:rsid w:val="00606717"/>
    <w:rsid w:val="00606A01"/>
    <w:rsid w:val="00606AD7"/>
    <w:rsid w:val="00606BDE"/>
    <w:rsid w:val="00606C0A"/>
    <w:rsid w:val="00606E11"/>
    <w:rsid w:val="00606F55"/>
    <w:rsid w:val="00606FB3"/>
    <w:rsid w:val="00607296"/>
    <w:rsid w:val="006074FC"/>
    <w:rsid w:val="00607AC1"/>
    <w:rsid w:val="006106E9"/>
    <w:rsid w:val="00610BDA"/>
    <w:rsid w:val="00610C71"/>
    <w:rsid w:val="00610C99"/>
    <w:rsid w:val="006116CD"/>
    <w:rsid w:val="00611C50"/>
    <w:rsid w:val="00611CBB"/>
    <w:rsid w:val="00611DF5"/>
    <w:rsid w:val="00611F9F"/>
    <w:rsid w:val="00612114"/>
    <w:rsid w:val="0061232A"/>
    <w:rsid w:val="0061235B"/>
    <w:rsid w:val="00612455"/>
    <w:rsid w:val="00612789"/>
    <w:rsid w:val="00612BB2"/>
    <w:rsid w:val="00613797"/>
    <w:rsid w:val="00613A74"/>
    <w:rsid w:val="00613AAA"/>
    <w:rsid w:val="00613F69"/>
    <w:rsid w:val="006143F2"/>
    <w:rsid w:val="006147DB"/>
    <w:rsid w:val="00615CA1"/>
    <w:rsid w:val="00615F15"/>
    <w:rsid w:val="00616031"/>
    <w:rsid w:val="0061612C"/>
    <w:rsid w:val="00616633"/>
    <w:rsid w:val="00616A0B"/>
    <w:rsid w:val="00616ADC"/>
    <w:rsid w:val="00616BEF"/>
    <w:rsid w:val="00616E98"/>
    <w:rsid w:val="00616F92"/>
    <w:rsid w:val="00617047"/>
    <w:rsid w:val="006173D9"/>
    <w:rsid w:val="006175C8"/>
    <w:rsid w:val="00617703"/>
    <w:rsid w:val="00617AAF"/>
    <w:rsid w:val="00617B54"/>
    <w:rsid w:val="006202B9"/>
    <w:rsid w:val="00620674"/>
    <w:rsid w:val="00621067"/>
    <w:rsid w:val="006210CE"/>
    <w:rsid w:val="006214AD"/>
    <w:rsid w:val="0062166E"/>
    <w:rsid w:val="006219E8"/>
    <w:rsid w:val="00621C2C"/>
    <w:rsid w:val="00621F0C"/>
    <w:rsid w:val="006221E8"/>
    <w:rsid w:val="006222B3"/>
    <w:rsid w:val="00622CED"/>
    <w:rsid w:val="0062344E"/>
    <w:rsid w:val="00623C81"/>
    <w:rsid w:val="00624270"/>
    <w:rsid w:val="00624A3E"/>
    <w:rsid w:val="00624D48"/>
    <w:rsid w:val="006253A5"/>
    <w:rsid w:val="00625508"/>
    <w:rsid w:val="006256D9"/>
    <w:rsid w:val="006261B5"/>
    <w:rsid w:val="006263D7"/>
    <w:rsid w:val="0062737B"/>
    <w:rsid w:val="006279E7"/>
    <w:rsid w:val="00627A8F"/>
    <w:rsid w:val="00630208"/>
    <w:rsid w:val="0063090C"/>
    <w:rsid w:val="00630D0A"/>
    <w:rsid w:val="00630FD7"/>
    <w:rsid w:val="006316FF"/>
    <w:rsid w:val="00631C9D"/>
    <w:rsid w:val="00632594"/>
    <w:rsid w:val="00632633"/>
    <w:rsid w:val="00632673"/>
    <w:rsid w:val="006329A2"/>
    <w:rsid w:val="00632AC0"/>
    <w:rsid w:val="00632DD0"/>
    <w:rsid w:val="00632EF8"/>
    <w:rsid w:val="0063335C"/>
    <w:rsid w:val="006335D3"/>
    <w:rsid w:val="006339E5"/>
    <w:rsid w:val="00633BC5"/>
    <w:rsid w:val="00633E7B"/>
    <w:rsid w:val="00633ED1"/>
    <w:rsid w:val="00634DBF"/>
    <w:rsid w:val="00634F02"/>
    <w:rsid w:val="00635433"/>
    <w:rsid w:val="00635910"/>
    <w:rsid w:val="00635BFA"/>
    <w:rsid w:val="00636AB9"/>
    <w:rsid w:val="00636C88"/>
    <w:rsid w:val="00636E4D"/>
    <w:rsid w:val="006372BF"/>
    <w:rsid w:val="0063737A"/>
    <w:rsid w:val="00637401"/>
    <w:rsid w:val="00637752"/>
    <w:rsid w:val="00637B9A"/>
    <w:rsid w:val="00637C72"/>
    <w:rsid w:val="00640009"/>
    <w:rsid w:val="006403BF"/>
    <w:rsid w:val="00640AA6"/>
    <w:rsid w:val="00640B20"/>
    <w:rsid w:val="00641058"/>
    <w:rsid w:val="0064138D"/>
    <w:rsid w:val="00641459"/>
    <w:rsid w:val="006418D2"/>
    <w:rsid w:val="006418E0"/>
    <w:rsid w:val="0064192B"/>
    <w:rsid w:val="00641DBA"/>
    <w:rsid w:val="00641EE7"/>
    <w:rsid w:val="00641F22"/>
    <w:rsid w:val="00641FD9"/>
    <w:rsid w:val="00642A42"/>
    <w:rsid w:val="00642BF0"/>
    <w:rsid w:val="00642D53"/>
    <w:rsid w:val="00642DE5"/>
    <w:rsid w:val="00642E04"/>
    <w:rsid w:val="00642E14"/>
    <w:rsid w:val="006431CE"/>
    <w:rsid w:val="006435ED"/>
    <w:rsid w:val="006436DE"/>
    <w:rsid w:val="006442BB"/>
    <w:rsid w:val="006442FE"/>
    <w:rsid w:val="0064441A"/>
    <w:rsid w:val="006445A9"/>
    <w:rsid w:val="006449CD"/>
    <w:rsid w:val="00644D1D"/>
    <w:rsid w:val="00644D97"/>
    <w:rsid w:val="006452C4"/>
    <w:rsid w:val="006454D5"/>
    <w:rsid w:val="006458A8"/>
    <w:rsid w:val="00645AC8"/>
    <w:rsid w:val="00645B6B"/>
    <w:rsid w:val="006466F6"/>
    <w:rsid w:val="00647422"/>
    <w:rsid w:val="00647A30"/>
    <w:rsid w:val="00647C7D"/>
    <w:rsid w:val="006507AE"/>
    <w:rsid w:val="00651360"/>
    <w:rsid w:val="006513EE"/>
    <w:rsid w:val="006527D2"/>
    <w:rsid w:val="00653030"/>
    <w:rsid w:val="006534A2"/>
    <w:rsid w:val="006534FB"/>
    <w:rsid w:val="00653A85"/>
    <w:rsid w:val="006543C6"/>
    <w:rsid w:val="00654474"/>
    <w:rsid w:val="00654A23"/>
    <w:rsid w:val="006550F8"/>
    <w:rsid w:val="0065510E"/>
    <w:rsid w:val="00655287"/>
    <w:rsid w:val="006552E5"/>
    <w:rsid w:val="0065550C"/>
    <w:rsid w:val="00655821"/>
    <w:rsid w:val="006564B0"/>
    <w:rsid w:val="00656AFA"/>
    <w:rsid w:val="00656E37"/>
    <w:rsid w:val="00657130"/>
    <w:rsid w:val="006576EF"/>
    <w:rsid w:val="00657B00"/>
    <w:rsid w:val="00657D56"/>
    <w:rsid w:val="00657FF9"/>
    <w:rsid w:val="0066008B"/>
    <w:rsid w:val="0066027E"/>
    <w:rsid w:val="00660390"/>
    <w:rsid w:val="00660D5B"/>
    <w:rsid w:val="0066119A"/>
    <w:rsid w:val="00661356"/>
    <w:rsid w:val="00661D7D"/>
    <w:rsid w:val="00661E71"/>
    <w:rsid w:val="00661EB6"/>
    <w:rsid w:val="00662290"/>
    <w:rsid w:val="006622F9"/>
    <w:rsid w:val="00662332"/>
    <w:rsid w:val="0066280C"/>
    <w:rsid w:val="00662FFE"/>
    <w:rsid w:val="00663C3C"/>
    <w:rsid w:val="0066417C"/>
    <w:rsid w:val="006644E0"/>
    <w:rsid w:val="006645B1"/>
    <w:rsid w:val="0066479B"/>
    <w:rsid w:val="0066487F"/>
    <w:rsid w:val="00664E9C"/>
    <w:rsid w:val="006653C2"/>
    <w:rsid w:val="006656BE"/>
    <w:rsid w:val="006658AA"/>
    <w:rsid w:val="0066599A"/>
    <w:rsid w:val="00665B0F"/>
    <w:rsid w:val="00665DE5"/>
    <w:rsid w:val="00665F00"/>
    <w:rsid w:val="00665FBC"/>
    <w:rsid w:val="0066621E"/>
    <w:rsid w:val="006664F6"/>
    <w:rsid w:val="006669B9"/>
    <w:rsid w:val="00666B49"/>
    <w:rsid w:val="00666BDC"/>
    <w:rsid w:val="00666E99"/>
    <w:rsid w:val="006679EB"/>
    <w:rsid w:val="00667A38"/>
    <w:rsid w:val="00667CA8"/>
    <w:rsid w:val="00667E24"/>
    <w:rsid w:val="00667FE0"/>
    <w:rsid w:val="00670308"/>
    <w:rsid w:val="0067071F"/>
    <w:rsid w:val="00670761"/>
    <w:rsid w:val="006708EA"/>
    <w:rsid w:val="006709FE"/>
    <w:rsid w:val="00670DB7"/>
    <w:rsid w:val="00671A07"/>
    <w:rsid w:val="00672343"/>
    <w:rsid w:val="006726B9"/>
    <w:rsid w:val="006728A8"/>
    <w:rsid w:val="00672DC4"/>
    <w:rsid w:val="0067305A"/>
    <w:rsid w:val="00673144"/>
    <w:rsid w:val="00673193"/>
    <w:rsid w:val="00673267"/>
    <w:rsid w:val="00673571"/>
    <w:rsid w:val="0067411E"/>
    <w:rsid w:val="006743B5"/>
    <w:rsid w:val="00674BD7"/>
    <w:rsid w:val="00674F52"/>
    <w:rsid w:val="00674F83"/>
    <w:rsid w:val="0067501C"/>
    <w:rsid w:val="006750CC"/>
    <w:rsid w:val="006754DC"/>
    <w:rsid w:val="00675BCF"/>
    <w:rsid w:val="00675C9F"/>
    <w:rsid w:val="00675F22"/>
    <w:rsid w:val="006769BE"/>
    <w:rsid w:val="00676C10"/>
    <w:rsid w:val="00677150"/>
    <w:rsid w:val="00677613"/>
    <w:rsid w:val="00677A55"/>
    <w:rsid w:val="00677AFD"/>
    <w:rsid w:val="00677B19"/>
    <w:rsid w:val="00677CD3"/>
    <w:rsid w:val="00677E15"/>
    <w:rsid w:val="00677E23"/>
    <w:rsid w:val="00680153"/>
    <w:rsid w:val="006805F8"/>
    <w:rsid w:val="00680B74"/>
    <w:rsid w:val="00680F82"/>
    <w:rsid w:val="0068103B"/>
    <w:rsid w:val="006814A6"/>
    <w:rsid w:val="006815E6"/>
    <w:rsid w:val="006816AC"/>
    <w:rsid w:val="006820BB"/>
    <w:rsid w:val="00682564"/>
    <w:rsid w:val="006825B1"/>
    <w:rsid w:val="00682DD5"/>
    <w:rsid w:val="006833E0"/>
    <w:rsid w:val="00683681"/>
    <w:rsid w:val="00683866"/>
    <w:rsid w:val="006838CA"/>
    <w:rsid w:val="00683C13"/>
    <w:rsid w:val="0068401F"/>
    <w:rsid w:val="00684987"/>
    <w:rsid w:val="00684ACD"/>
    <w:rsid w:val="00684BA1"/>
    <w:rsid w:val="00684C28"/>
    <w:rsid w:val="006854EE"/>
    <w:rsid w:val="00685C0E"/>
    <w:rsid w:val="00686246"/>
    <w:rsid w:val="006863EB"/>
    <w:rsid w:val="0068650F"/>
    <w:rsid w:val="00686516"/>
    <w:rsid w:val="00686673"/>
    <w:rsid w:val="00686AA0"/>
    <w:rsid w:val="00686D15"/>
    <w:rsid w:val="00687092"/>
    <w:rsid w:val="00687F74"/>
    <w:rsid w:val="00690AC8"/>
    <w:rsid w:val="00690C40"/>
    <w:rsid w:val="006910CA"/>
    <w:rsid w:val="0069178C"/>
    <w:rsid w:val="00691943"/>
    <w:rsid w:val="00691CE3"/>
    <w:rsid w:val="006922E5"/>
    <w:rsid w:val="0069237F"/>
    <w:rsid w:val="00692B27"/>
    <w:rsid w:val="00693597"/>
    <w:rsid w:val="00693DE0"/>
    <w:rsid w:val="006945C0"/>
    <w:rsid w:val="00694BD4"/>
    <w:rsid w:val="006958A7"/>
    <w:rsid w:val="00695C58"/>
    <w:rsid w:val="00695F50"/>
    <w:rsid w:val="006960F9"/>
    <w:rsid w:val="00696238"/>
    <w:rsid w:val="00696326"/>
    <w:rsid w:val="0069639B"/>
    <w:rsid w:val="00696401"/>
    <w:rsid w:val="00696D23"/>
    <w:rsid w:val="00696DCB"/>
    <w:rsid w:val="00697736"/>
    <w:rsid w:val="00697E14"/>
    <w:rsid w:val="006A0568"/>
    <w:rsid w:val="006A0751"/>
    <w:rsid w:val="006A0792"/>
    <w:rsid w:val="006A0822"/>
    <w:rsid w:val="006A08CF"/>
    <w:rsid w:val="006A0AA9"/>
    <w:rsid w:val="006A0B79"/>
    <w:rsid w:val="006A0CB2"/>
    <w:rsid w:val="006A0F6E"/>
    <w:rsid w:val="006A1336"/>
    <w:rsid w:val="006A179F"/>
    <w:rsid w:val="006A17E1"/>
    <w:rsid w:val="006A1F14"/>
    <w:rsid w:val="006A26E4"/>
    <w:rsid w:val="006A33A9"/>
    <w:rsid w:val="006A3414"/>
    <w:rsid w:val="006A3617"/>
    <w:rsid w:val="006A397A"/>
    <w:rsid w:val="006A3A79"/>
    <w:rsid w:val="006A3C91"/>
    <w:rsid w:val="006A4087"/>
    <w:rsid w:val="006A42AF"/>
    <w:rsid w:val="006A4C47"/>
    <w:rsid w:val="006A4DCC"/>
    <w:rsid w:val="006A56B0"/>
    <w:rsid w:val="006A5992"/>
    <w:rsid w:val="006A5F8C"/>
    <w:rsid w:val="006A61CA"/>
    <w:rsid w:val="006A61DD"/>
    <w:rsid w:val="006A697D"/>
    <w:rsid w:val="006A7582"/>
    <w:rsid w:val="006B02DE"/>
    <w:rsid w:val="006B050E"/>
    <w:rsid w:val="006B0551"/>
    <w:rsid w:val="006B05B2"/>
    <w:rsid w:val="006B0D79"/>
    <w:rsid w:val="006B1A03"/>
    <w:rsid w:val="006B1D9A"/>
    <w:rsid w:val="006B1F30"/>
    <w:rsid w:val="006B22DD"/>
    <w:rsid w:val="006B27D0"/>
    <w:rsid w:val="006B283F"/>
    <w:rsid w:val="006B2B68"/>
    <w:rsid w:val="006B2CF0"/>
    <w:rsid w:val="006B3467"/>
    <w:rsid w:val="006B348D"/>
    <w:rsid w:val="006B36C0"/>
    <w:rsid w:val="006B3705"/>
    <w:rsid w:val="006B423B"/>
    <w:rsid w:val="006B4680"/>
    <w:rsid w:val="006B4709"/>
    <w:rsid w:val="006B4754"/>
    <w:rsid w:val="006B4ECA"/>
    <w:rsid w:val="006B53FD"/>
    <w:rsid w:val="006B5710"/>
    <w:rsid w:val="006B57E7"/>
    <w:rsid w:val="006B5813"/>
    <w:rsid w:val="006B58B8"/>
    <w:rsid w:val="006B6A0F"/>
    <w:rsid w:val="006B6BAA"/>
    <w:rsid w:val="006B70D4"/>
    <w:rsid w:val="006B7348"/>
    <w:rsid w:val="006B7613"/>
    <w:rsid w:val="006B7B47"/>
    <w:rsid w:val="006B7FBD"/>
    <w:rsid w:val="006C014B"/>
    <w:rsid w:val="006C0501"/>
    <w:rsid w:val="006C0CDF"/>
    <w:rsid w:val="006C0E63"/>
    <w:rsid w:val="006C19AB"/>
    <w:rsid w:val="006C1D12"/>
    <w:rsid w:val="006C2268"/>
    <w:rsid w:val="006C2445"/>
    <w:rsid w:val="006C2629"/>
    <w:rsid w:val="006C2712"/>
    <w:rsid w:val="006C307E"/>
    <w:rsid w:val="006C3462"/>
    <w:rsid w:val="006C3683"/>
    <w:rsid w:val="006C38BD"/>
    <w:rsid w:val="006C3ED2"/>
    <w:rsid w:val="006C3FF8"/>
    <w:rsid w:val="006C4389"/>
    <w:rsid w:val="006C4659"/>
    <w:rsid w:val="006C534E"/>
    <w:rsid w:val="006C5473"/>
    <w:rsid w:val="006C5904"/>
    <w:rsid w:val="006C5B40"/>
    <w:rsid w:val="006C66FB"/>
    <w:rsid w:val="006C6D1B"/>
    <w:rsid w:val="006C793A"/>
    <w:rsid w:val="006C7BEA"/>
    <w:rsid w:val="006C7D13"/>
    <w:rsid w:val="006D003F"/>
    <w:rsid w:val="006D02B2"/>
    <w:rsid w:val="006D0DEF"/>
    <w:rsid w:val="006D0E0B"/>
    <w:rsid w:val="006D1562"/>
    <w:rsid w:val="006D17E9"/>
    <w:rsid w:val="006D1860"/>
    <w:rsid w:val="006D213D"/>
    <w:rsid w:val="006D224C"/>
    <w:rsid w:val="006D2980"/>
    <w:rsid w:val="006D3117"/>
    <w:rsid w:val="006D3211"/>
    <w:rsid w:val="006D3BE2"/>
    <w:rsid w:val="006D3C44"/>
    <w:rsid w:val="006D3F80"/>
    <w:rsid w:val="006D3FC6"/>
    <w:rsid w:val="006D42C0"/>
    <w:rsid w:val="006D4521"/>
    <w:rsid w:val="006D4575"/>
    <w:rsid w:val="006D45F5"/>
    <w:rsid w:val="006D4675"/>
    <w:rsid w:val="006D4799"/>
    <w:rsid w:val="006D486F"/>
    <w:rsid w:val="006D48FF"/>
    <w:rsid w:val="006D4DD1"/>
    <w:rsid w:val="006D4EAC"/>
    <w:rsid w:val="006D5513"/>
    <w:rsid w:val="006D56C0"/>
    <w:rsid w:val="006D5858"/>
    <w:rsid w:val="006D5DF9"/>
    <w:rsid w:val="006D6012"/>
    <w:rsid w:val="006D6043"/>
    <w:rsid w:val="006D6AA1"/>
    <w:rsid w:val="006D6AD6"/>
    <w:rsid w:val="006D6BE8"/>
    <w:rsid w:val="006D6D10"/>
    <w:rsid w:val="006D6DD4"/>
    <w:rsid w:val="006D71BF"/>
    <w:rsid w:val="006D7493"/>
    <w:rsid w:val="006D7A11"/>
    <w:rsid w:val="006E01DA"/>
    <w:rsid w:val="006E04A8"/>
    <w:rsid w:val="006E0592"/>
    <w:rsid w:val="006E0653"/>
    <w:rsid w:val="006E09A0"/>
    <w:rsid w:val="006E0B8D"/>
    <w:rsid w:val="006E121D"/>
    <w:rsid w:val="006E1436"/>
    <w:rsid w:val="006E170D"/>
    <w:rsid w:val="006E1795"/>
    <w:rsid w:val="006E17A9"/>
    <w:rsid w:val="006E19E7"/>
    <w:rsid w:val="006E1CF0"/>
    <w:rsid w:val="006E1DBA"/>
    <w:rsid w:val="006E2188"/>
    <w:rsid w:val="006E221B"/>
    <w:rsid w:val="006E2276"/>
    <w:rsid w:val="006E240B"/>
    <w:rsid w:val="006E28C0"/>
    <w:rsid w:val="006E2A5F"/>
    <w:rsid w:val="006E2B2E"/>
    <w:rsid w:val="006E2E54"/>
    <w:rsid w:val="006E3C03"/>
    <w:rsid w:val="006E3DF4"/>
    <w:rsid w:val="006E4559"/>
    <w:rsid w:val="006E4833"/>
    <w:rsid w:val="006E49A6"/>
    <w:rsid w:val="006E4AED"/>
    <w:rsid w:val="006E4CCE"/>
    <w:rsid w:val="006E4FAB"/>
    <w:rsid w:val="006E50CC"/>
    <w:rsid w:val="006E583A"/>
    <w:rsid w:val="006E5A00"/>
    <w:rsid w:val="006E5FFF"/>
    <w:rsid w:val="006E64FD"/>
    <w:rsid w:val="006E66FC"/>
    <w:rsid w:val="006E6BB5"/>
    <w:rsid w:val="006E6CFD"/>
    <w:rsid w:val="006E6F7C"/>
    <w:rsid w:val="006E7351"/>
    <w:rsid w:val="006E7C26"/>
    <w:rsid w:val="006E7E73"/>
    <w:rsid w:val="006F021C"/>
    <w:rsid w:val="006F0392"/>
    <w:rsid w:val="006F095A"/>
    <w:rsid w:val="006F0A6E"/>
    <w:rsid w:val="006F1308"/>
    <w:rsid w:val="006F158B"/>
    <w:rsid w:val="006F19A3"/>
    <w:rsid w:val="006F1E99"/>
    <w:rsid w:val="006F25A7"/>
    <w:rsid w:val="006F2820"/>
    <w:rsid w:val="006F2875"/>
    <w:rsid w:val="006F2C4D"/>
    <w:rsid w:val="006F3A8B"/>
    <w:rsid w:val="006F4821"/>
    <w:rsid w:val="006F4E1C"/>
    <w:rsid w:val="006F4E4D"/>
    <w:rsid w:val="006F4E53"/>
    <w:rsid w:val="006F5186"/>
    <w:rsid w:val="006F51CC"/>
    <w:rsid w:val="006F5297"/>
    <w:rsid w:val="006F56EE"/>
    <w:rsid w:val="006F592F"/>
    <w:rsid w:val="006F5E8D"/>
    <w:rsid w:val="006F6432"/>
    <w:rsid w:val="006F6631"/>
    <w:rsid w:val="006F6AD8"/>
    <w:rsid w:val="006F6B62"/>
    <w:rsid w:val="006F6D52"/>
    <w:rsid w:val="006F7131"/>
    <w:rsid w:val="006F7154"/>
    <w:rsid w:val="006F7495"/>
    <w:rsid w:val="006F74AB"/>
    <w:rsid w:val="006F75A5"/>
    <w:rsid w:val="006F799A"/>
    <w:rsid w:val="00700530"/>
    <w:rsid w:val="00700833"/>
    <w:rsid w:val="00700A1C"/>
    <w:rsid w:val="00700D8B"/>
    <w:rsid w:val="00700F9B"/>
    <w:rsid w:val="00700FEA"/>
    <w:rsid w:val="007013B8"/>
    <w:rsid w:val="0070239A"/>
    <w:rsid w:val="0070242C"/>
    <w:rsid w:val="0070274D"/>
    <w:rsid w:val="00702784"/>
    <w:rsid w:val="007028A1"/>
    <w:rsid w:val="007029CC"/>
    <w:rsid w:val="00702CD9"/>
    <w:rsid w:val="00702DE1"/>
    <w:rsid w:val="00702FD8"/>
    <w:rsid w:val="0070353C"/>
    <w:rsid w:val="00703A96"/>
    <w:rsid w:val="00704AE8"/>
    <w:rsid w:val="00704E11"/>
    <w:rsid w:val="00704FC6"/>
    <w:rsid w:val="007050AE"/>
    <w:rsid w:val="0070523A"/>
    <w:rsid w:val="00705B52"/>
    <w:rsid w:val="00705E91"/>
    <w:rsid w:val="007060EE"/>
    <w:rsid w:val="00706709"/>
    <w:rsid w:val="00706898"/>
    <w:rsid w:val="00706DD0"/>
    <w:rsid w:val="007070C4"/>
    <w:rsid w:val="0070787D"/>
    <w:rsid w:val="00707A03"/>
    <w:rsid w:val="00707F23"/>
    <w:rsid w:val="00710207"/>
    <w:rsid w:val="0071065A"/>
    <w:rsid w:val="0071071D"/>
    <w:rsid w:val="0071092A"/>
    <w:rsid w:val="0071104A"/>
    <w:rsid w:val="0071104C"/>
    <w:rsid w:val="0071157D"/>
    <w:rsid w:val="007116B3"/>
    <w:rsid w:val="00711846"/>
    <w:rsid w:val="00711B10"/>
    <w:rsid w:val="00711B4D"/>
    <w:rsid w:val="007123C8"/>
    <w:rsid w:val="00712AB9"/>
    <w:rsid w:val="00712FE0"/>
    <w:rsid w:val="00713029"/>
    <w:rsid w:val="0071302E"/>
    <w:rsid w:val="00713422"/>
    <w:rsid w:val="00713A35"/>
    <w:rsid w:val="00713AF5"/>
    <w:rsid w:val="00713D4E"/>
    <w:rsid w:val="00714108"/>
    <w:rsid w:val="007145A3"/>
    <w:rsid w:val="007145CD"/>
    <w:rsid w:val="00714ACE"/>
    <w:rsid w:val="00715404"/>
    <w:rsid w:val="007154FB"/>
    <w:rsid w:val="00715570"/>
    <w:rsid w:val="00715916"/>
    <w:rsid w:val="00715AA5"/>
    <w:rsid w:val="00715E36"/>
    <w:rsid w:val="00715F95"/>
    <w:rsid w:val="007161DC"/>
    <w:rsid w:val="00716322"/>
    <w:rsid w:val="00716360"/>
    <w:rsid w:val="0071655B"/>
    <w:rsid w:val="007165D9"/>
    <w:rsid w:val="00716A9B"/>
    <w:rsid w:val="00716BA8"/>
    <w:rsid w:val="00716DA8"/>
    <w:rsid w:val="00716E3C"/>
    <w:rsid w:val="0071717C"/>
    <w:rsid w:val="007174C7"/>
    <w:rsid w:val="00717925"/>
    <w:rsid w:val="00717D2A"/>
    <w:rsid w:val="00717E26"/>
    <w:rsid w:val="007200E0"/>
    <w:rsid w:val="00720948"/>
    <w:rsid w:val="00720A96"/>
    <w:rsid w:val="00720B1F"/>
    <w:rsid w:val="00720DBA"/>
    <w:rsid w:val="00721913"/>
    <w:rsid w:val="00721A45"/>
    <w:rsid w:val="00721AFB"/>
    <w:rsid w:val="00722119"/>
    <w:rsid w:val="00722307"/>
    <w:rsid w:val="00722B42"/>
    <w:rsid w:val="00722F4E"/>
    <w:rsid w:val="007239D6"/>
    <w:rsid w:val="007239F3"/>
    <w:rsid w:val="00723D4F"/>
    <w:rsid w:val="00723D93"/>
    <w:rsid w:val="007240C2"/>
    <w:rsid w:val="00724489"/>
    <w:rsid w:val="00724C30"/>
    <w:rsid w:val="00724F68"/>
    <w:rsid w:val="00724FCC"/>
    <w:rsid w:val="007251AD"/>
    <w:rsid w:val="0072544B"/>
    <w:rsid w:val="0072544D"/>
    <w:rsid w:val="007255CD"/>
    <w:rsid w:val="007256FA"/>
    <w:rsid w:val="00725C43"/>
    <w:rsid w:val="00725CEC"/>
    <w:rsid w:val="00725DE0"/>
    <w:rsid w:val="00726753"/>
    <w:rsid w:val="00726BA0"/>
    <w:rsid w:val="00726CFF"/>
    <w:rsid w:val="007270B0"/>
    <w:rsid w:val="007278D1"/>
    <w:rsid w:val="00727EE6"/>
    <w:rsid w:val="007306FA"/>
    <w:rsid w:val="00730B86"/>
    <w:rsid w:val="00730D4D"/>
    <w:rsid w:val="007312D9"/>
    <w:rsid w:val="00731B45"/>
    <w:rsid w:val="00732366"/>
    <w:rsid w:val="00733C96"/>
    <w:rsid w:val="00734584"/>
    <w:rsid w:val="00734B17"/>
    <w:rsid w:val="00734ED2"/>
    <w:rsid w:val="007353CB"/>
    <w:rsid w:val="00735AB1"/>
    <w:rsid w:val="007363D2"/>
    <w:rsid w:val="007365E6"/>
    <w:rsid w:val="007366C7"/>
    <w:rsid w:val="00736CF1"/>
    <w:rsid w:val="007375EB"/>
    <w:rsid w:val="00737922"/>
    <w:rsid w:val="00737AA4"/>
    <w:rsid w:val="00740427"/>
    <w:rsid w:val="0074112E"/>
    <w:rsid w:val="007415DE"/>
    <w:rsid w:val="00741678"/>
    <w:rsid w:val="0074178D"/>
    <w:rsid w:val="007419FD"/>
    <w:rsid w:val="00741B09"/>
    <w:rsid w:val="007424A2"/>
    <w:rsid w:val="00742D44"/>
    <w:rsid w:val="00743406"/>
    <w:rsid w:val="007436E2"/>
    <w:rsid w:val="00743808"/>
    <w:rsid w:val="00743B64"/>
    <w:rsid w:val="007442C2"/>
    <w:rsid w:val="007447FA"/>
    <w:rsid w:val="007449F8"/>
    <w:rsid w:val="00744A5C"/>
    <w:rsid w:val="00745568"/>
    <w:rsid w:val="00745668"/>
    <w:rsid w:val="00745B46"/>
    <w:rsid w:val="00745BB9"/>
    <w:rsid w:val="0074664E"/>
    <w:rsid w:val="00747215"/>
    <w:rsid w:val="00750BB5"/>
    <w:rsid w:val="00750BE8"/>
    <w:rsid w:val="00750EB6"/>
    <w:rsid w:val="00750F20"/>
    <w:rsid w:val="00750FEB"/>
    <w:rsid w:val="00751083"/>
    <w:rsid w:val="00751171"/>
    <w:rsid w:val="00751409"/>
    <w:rsid w:val="0075187C"/>
    <w:rsid w:val="007519B6"/>
    <w:rsid w:val="00751BB4"/>
    <w:rsid w:val="00751E5F"/>
    <w:rsid w:val="00751FE2"/>
    <w:rsid w:val="007524ED"/>
    <w:rsid w:val="007529F5"/>
    <w:rsid w:val="00752BD1"/>
    <w:rsid w:val="00753301"/>
    <w:rsid w:val="00753304"/>
    <w:rsid w:val="00753F1A"/>
    <w:rsid w:val="00753F32"/>
    <w:rsid w:val="0075440A"/>
    <w:rsid w:val="0075466E"/>
    <w:rsid w:val="007549CF"/>
    <w:rsid w:val="00754B26"/>
    <w:rsid w:val="00754C9D"/>
    <w:rsid w:val="00754DC5"/>
    <w:rsid w:val="00754E33"/>
    <w:rsid w:val="0075511C"/>
    <w:rsid w:val="0075519C"/>
    <w:rsid w:val="00755A4F"/>
    <w:rsid w:val="00756737"/>
    <w:rsid w:val="00756824"/>
    <w:rsid w:val="00756C20"/>
    <w:rsid w:val="007576A7"/>
    <w:rsid w:val="007576C3"/>
    <w:rsid w:val="00757921"/>
    <w:rsid w:val="007579F9"/>
    <w:rsid w:val="00757A5B"/>
    <w:rsid w:val="00757CE9"/>
    <w:rsid w:val="00760931"/>
    <w:rsid w:val="0076094F"/>
    <w:rsid w:val="00760A1D"/>
    <w:rsid w:val="00760C7A"/>
    <w:rsid w:val="00760FF4"/>
    <w:rsid w:val="00761272"/>
    <w:rsid w:val="00761874"/>
    <w:rsid w:val="00761F13"/>
    <w:rsid w:val="00761FF9"/>
    <w:rsid w:val="00762306"/>
    <w:rsid w:val="00762433"/>
    <w:rsid w:val="00762547"/>
    <w:rsid w:val="00762679"/>
    <w:rsid w:val="00762887"/>
    <w:rsid w:val="007629EC"/>
    <w:rsid w:val="00762FE2"/>
    <w:rsid w:val="00762FFF"/>
    <w:rsid w:val="007630F5"/>
    <w:rsid w:val="0076370B"/>
    <w:rsid w:val="00763B40"/>
    <w:rsid w:val="0076414C"/>
    <w:rsid w:val="00764CB5"/>
    <w:rsid w:val="0076508E"/>
    <w:rsid w:val="007652EF"/>
    <w:rsid w:val="00765533"/>
    <w:rsid w:val="00765990"/>
    <w:rsid w:val="00765D79"/>
    <w:rsid w:val="0076600C"/>
    <w:rsid w:val="00766016"/>
    <w:rsid w:val="00766103"/>
    <w:rsid w:val="007661F2"/>
    <w:rsid w:val="007662DF"/>
    <w:rsid w:val="00766470"/>
    <w:rsid w:val="00766611"/>
    <w:rsid w:val="00766CDD"/>
    <w:rsid w:val="00766DE0"/>
    <w:rsid w:val="00767275"/>
    <w:rsid w:val="00767953"/>
    <w:rsid w:val="00767C15"/>
    <w:rsid w:val="007701A7"/>
    <w:rsid w:val="00770200"/>
    <w:rsid w:val="0077020B"/>
    <w:rsid w:val="0077040B"/>
    <w:rsid w:val="00770707"/>
    <w:rsid w:val="00770A0A"/>
    <w:rsid w:val="00770A58"/>
    <w:rsid w:val="00770B85"/>
    <w:rsid w:val="00771177"/>
    <w:rsid w:val="007713B6"/>
    <w:rsid w:val="00771429"/>
    <w:rsid w:val="007714C4"/>
    <w:rsid w:val="00771753"/>
    <w:rsid w:val="0077179B"/>
    <w:rsid w:val="00771ECE"/>
    <w:rsid w:val="00772339"/>
    <w:rsid w:val="00772953"/>
    <w:rsid w:val="00772A2B"/>
    <w:rsid w:val="00773057"/>
    <w:rsid w:val="00773356"/>
    <w:rsid w:val="007733B7"/>
    <w:rsid w:val="0077351A"/>
    <w:rsid w:val="007735C6"/>
    <w:rsid w:val="007738B2"/>
    <w:rsid w:val="00773C9A"/>
    <w:rsid w:val="007744EB"/>
    <w:rsid w:val="0077479E"/>
    <w:rsid w:val="007748D0"/>
    <w:rsid w:val="007749C5"/>
    <w:rsid w:val="00774B49"/>
    <w:rsid w:val="0077516D"/>
    <w:rsid w:val="00775476"/>
    <w:rsid w:val="007754C7"/>
    <w:rsid w:val="00775CA2"/>
    <w:rsid w:val="00775DD7"/>
    <w:rsid w:val="007763CD"/>
    <w:rsid w:val="007766B6"/>
    <w:rsid w:val="0077698C"/>
    <w:rsid w:val="0077706E"/>
    <w:rsid w:val="00777526"/>
    <w:rsid w:val="007775A4"/>
    <w:rsid w:val="00777BB8"/>
    <w:rsid w:val="00777C8F"/>
    <w:rsid w:val="00780661"/>
    <w:rsid w:val="00780974"/>
    <w:rsid w:val="00780E2C"/>
    <w:rsid w:val="007810F4"/>
    <w:rsid w:val="00781242"/>
    <w:rsid w:val="007815B8"/>
    <w:rsid w:val="007816C3"/>
    <w:rsid w:val="007817CE"/>
    <w:rsid w:val="00781E13"/>
    <w:rsid w:val="007823ED"/>
    <w:rsid w:val="00782438"/>
    <w:rsid w:val="00782CF9"/>
    <w:rsid w:val="007830DB"/>
    <w:rsid w:val="0078348C"/>
    <w:rsid w:val="007835D7"/>
    <w:rsid w:val="007837D9"/>
    <w:rsid w:val="00784347"/>
    <w:rsid w:val="00784771"/>
    <w:rsid w:val="007848C4"/>
    <w:rsid w:val="00784BC2"/>
    <w:rsid w:val="007851E1"/>
    <w:rsid w:val="00785984"/>
    <w:rsid w:val="00785994"/>
    <w:rsid w:val="0078600B"/>
    <w:rsid w:val="007863CC"/>
    <w:rsid w:val="0078656B"/>
    <w:rsid w:val="0078675E"/>
    <w:rsid w:val="00786F29"/>
    <w:rsid w:val="0078703B"/>
    <w:rsid w:val="007871EE"/>
    <w:rsid w:val="007874FF"/>
    <w:rsid w:val="00787642"/>
    <w:rsid w:val="0078768D"/>
    <w:rsid w:val="007879BA"/>
    <w:rsid w:val="00787B4C"/>
    <w:rsid w:val="00787CBA"/>
    <w:rsid w:val="00787CFF"/>
    <w:rsid w:val="00790084"/>
    <w:rsid w:val="007904D6"/>
    <w:rsid w:val="00790940"/>
    <w:rsid w:val="00790E7C"/>
    <w:rsid w:val="00791157"/>
    <w:rsid w:val="007917F0"/>
    <w:rsid w:val="00791BFD"/>
    <w:rsid w:val="0079205D"/>
    <w:rsid w:val="00792AD0"/>
    <w:rsid w:val="00793982"/>
    <w:rsid w:val="00793E09"/>
    <w:rsid w:val="00794068"/>
    <w:rsid w:val="00794237"/>
    <w:rsid w:val="00794412"/>
    <w:rsid w:val="00794952"/>
    <w:rsid w:val="00794D14"/>
    <w:rsid w:val="00794FA5"/>
    <w:rsid w:val="00795895"/>
    <w:rsid w:val="00795AFE"/>
    <w:rsid w:val="00795CE9"/>
    <w:rsid w:val="00795E95"/>
    <w:rsid w:val="007960D6"/>
    <w:rsid w:val="0079674C"/>
    <w:rsid w:val="007969EB"/>
    <w:rsid w:val="00796A23"/>
    <w:rsid w:val="00796C10"/>
    <w:rsid w:val="0079710B"/>
    <w:rsid w:val="007971D5"/>
    <w:rsid w:val="00797255"/>
    <w:rsid w:val="007972AF"/>
    <w:rsid w:val="007974FB"/>
    <w:rsid w:val="00797A22"/>
    <w:rsid w:val="00797C75"/>
    <w:rsid w:val="00797EF9"/>
    <w:rsid w:val="007A029C"/>
    <w:rsid w:val="007A0510"/>
    <w:rsid w:val="007A065E"/>
    <w:rsid w:val="007A0D07"/>
    <w:rsid w:val="007A1082"/>
    <w:rsid w:val="007A1610"/>
    <w:rsid w:val="007A1A31"/>
    <w:rsid w:val="007A2198"/>
    <w:rsid w:val="007A2829"/>
    <w:rsid w:val="007A32C1"/>
    <w:rsid w:val="007A44B2"/>
    <w:rsid w:val="007A49DD"/>
    <w:rsid w:val="007A4A3E"/>
    <w:rsid w:val="007A4C3F"/>
    <w:rsid w:val="007A534A"/>
    <w:rsid w:val="007A5893"/>
    <w:rsid w:val="007A63D6"/>
    <w:rsid w:val="007A65A2"/>
    <w:rsid w:val="007A6756"/>
    <w:rsid w:val="007A688B"/>
    <w:rsid w:val="007A6B2D"/>
    <w:rsid w:val="007A6C45"/>
    <w:rsid w:val="007A6C86"/>
    <w:rsid w:val="007A6DC0"/>
    <w:rsid w:val="007A71A7"/>
    <w:rsid w:val="007A73E4"/>
    <w:rsid w:val="007A74C8"/>
    <w:rsid w:val="007A7ABE"/>
    <w:rsid w:val="007A7B96"/>
    <w:rsid w:val="007B02FF"/>
    <w:rsid w:val="007B0BD8"/>
    <w:rsid w:val="007B1E36"/>
    <w:rsid w:val="007B21AA"/>
    <w:rsid w:val="007B275E"/>
    <w:rsid w:val="007B2CB6"/>
    <w:rsid w:val="007B350F"/>
    <w:rsid w:val="007B3658"/>
    <w:rsid w:val="007B4624"/>
    <w:rsid w:val="007B47EE"/>
    <w:rsid w:val="007B5086"/>
    <w:rsid w:val="007B56DC"/>
    <w:rsid w:val="007B57E2"/>
    <w:rsid w:val="007B58F4"/>
    <w:rsid w:val="007B5B40"/>
    <w:rsid w:val="007B5B45"/>
    <w:rsid w:val="007B5B61"/>
    <w:rsid w:val="007B608E"/>
    <w:rsid w:val="007B623C"/>
    <w:rsid w:val="007B62A7"/>
    <w:rsid w:val="007B66A4"/>
    <w:rsid w:val="007B7251"/>
    <w:rsid w:val="007B7457"/>
    <w:rsid w:val="007B7478"/>
    <w:rsid w:val="007B74A3"/>
    <w:rsid w:val="007B7D42"/>
    <w:rsid w:val="007C0374"/>
    <w:rsid w:val="007C09C1"/>
    <w:rsid w:val="007C0C2A"/>
    <w:rsid w:val="007C0F5E"/>
    <w:rsid w:val="007C136E"/>
    <w:rsid w:val="007C13C3"/>
    <w:rsid w:val="007C1A0F"/>
    <w:rsid w:val="007C1D08"/>
    <w:rsid w:val="007C2621"/>
    <w:rsid w:val="007C2792"/>
    <w:rsid w:val="007C2BDC"/>
    <w:rsid w:val="007C3576"/>
    <w:rsid w:val="007C39FA"/>
    <w:rsid w:val="007C3DBB"/>
    <w:rsid w:val="007C40DB"/>
    <w:rsid w:val="007C4149"/>
    <w:rsid w:val="007C42C4"/>
    <w:rsid w:val="007C432D"/>
    <w:rsid w:val="007C4C93"/>
    <w:rsid w:val="007C4E00"/>
    <w:rsid w:val="007C5106"/>
    <w:rsid w:val="007C5B56"/>
    <w:rsid w:val="007C5B63"/>
    <w:rsid w:val="007C60EB"/>
    <w:rsid w:val="007C645C"/>
    <w:rsid w:val="007C6D5F"/>
    <w:rsid w:val="007C70A6"/>
    <w:rsid w:val="007C71A0"/>
    <w:rsid w:val="007C7CEC"/>
    <w:rsid w:val="007D065E"/>
    <w:rsid w:val="007D0682"/>
    <w:rsid w:val="007D0799"/>
    <w:rsid w:val="007D079F"/>
    <w:rsid w:val="007D0B13"/>
    <w:rsid w:val="007D0D86"/>
    <w:rsid w:val="007D0F03"/>
    <w:rsid w:val="007D0FB7"/>
    <w:rsid w:val="007D18BB"/>
    <w:rsid w:val="007D205B"/>
    <w:rsid w:val="007D2151"/>
    <w:rsid w:val="007D242F"/>
    <w:rsid w:val="007D24D0"/>
    <w:rsid w:val="007D2930"/>
    <w:rsid w:val="007D2C59"/>
    <w:rsid w:val="007D3322"/>
    <w:rsid w:val="007D3586"/>
    <w:rsid w:val="007D3B30"/>
    <w:rsid w:val="007D3C48"/>
    <w:rsid w:val="007D4177"/>
    <w:rsid w:val="007D4609"/>
    <w:rsid w:val="007D4C55"/>
    <w:rsid w:val="007D5705"/>
    <w:rsid w:val="007D5952"/>
    <w:rsid w:val="007D5B54"/>
    <w:rsid w:val="007D5C46"/>
    <w:rsid w:val="007D5FC0"/>
    <w:rsid w:val="007D63C1"/>
    <w:rsid w:val="007D6747"/>
    <w:rsid w:val="007D6BDA"/>
    <w:rsid w:val="007D6D01"/>
    <w:rsid w:val="007D6DAB"/>
    <w:rsid w:val="007D6EBA"/>
    <w:rsid w:val="007E07F6"/>
    <w:rsid w:val="007E08C4"/>
    <w:rsid w:val="007E0966"/>
    <w:rsid w:val="007E0DFA"/>
    <w:rsid w:val="007E170D"/>
    <w:rsid w:val="007E1772"/>
    <w:rsid w:val="007E1E9C"/>
    <w:rsid w:val="007E1F13"/>
    <w:rsid w:val="007E24BA"/>
    <w:rsid w:val="007E2A7C"/>
    <w:rsid w:val="007E3354"/>
    <w:rsid w:val="007E3382"/>
    <w:rsid w:val="007E360F"/>
    <w:rsid w:val="007E38E4"/>
    <w:rsid w:val="007E3B47"/>
    <w:rsid w:val="007E3BDD"/>
    <w:rsid w:val="007E3EAB"/>
    <w:rsid w:val="007E56FC"/>
    <w:rsid w:val="007E68AD"/>
    <w:rsid w:val="007E6C79"/>
    <w:rsid w:val="007E6C99"/>
    <w:rsid w:val="007E6D97"/>
    <w:rsid w:val="007E7191"/>
    <w:rsid w:val="007E73FC"/>
    <w:rsid w:val="007E769D"/>
    <w:rsid w:val="007E7764"/>
    <w:rsid w:val="007E7FA2"/>
    <w:rsid w:val="007F0104"/>
    <w:rsid w:val="007F0923"/>
    <w:rsid w:val="007F093B"/>
    <w:rsid w:val="007F155A"/>
    <w:rsid w:val="007F1811"/>
    <w:rsid w:val="007F1870"/>
    <w:rsid w:val="007F1C32"/>
    <w:rsid w:val="007F1E4E"/>
    <w:rsid w:val="007F2021"/>
    <w:rsid w:val="007F2188"/>
    <w:rsid w:val="007F2268"/>
    <w:rsid w:val="007F234D"/>
    <w:rsid w:val="007F2688"/>
    <w:rsid w:val="007F2756"/>
    <w:rsid w:val="007F2C2F"/>
    <w:rsid w:val="007F4452"/>
    <w:rsid w:val="007F44BF"/>
    <w:rsid w:val="007F4E34"/>
    <w:rsid w:val="007F4ED0"/>
    <w:rsid w:val="007F5EA0"/>
    <w:rsid w:val="007F6531"/>
    <w:rsid w:val="007F6929"/>
    <w:rsid w:val="007F6B34"/>
    <w:rsid w:val="007F6E92"/>
    <w:rsid w:val="007F6EBE"/>
    <w:rsid w:val="007F72BF"/>
    <w:rsid w:val="007F7604"/>
    <w:rsid w:val="007F766B"/>
    <w:rsid w:val="00800D5B"/>
    <w:rsid w:val="0080116A"/>
    <w:rsid w:val="00801325"/>
    <w:rsid w:val="008015ED"/>
    <w:rsid w:val="00801793"/>
    <w:rsid w:val="008018F6"/>
    <w:rsid w:val="00801C88"/>
    <w:rsid w:val="00801FD6"/>
    <w:rsid w:val="00802379"/>
    <w:rsid w:val="00802733"/>
    <w:rsid w:val="008029CE"/>
    <w:rsid w:val="00802A60"/>
    <w:rsid w:val="00802D99"/>
    <w:rsid w:val="008038AC"/>
    <w:rsid w:val="008038D7"/>
    <w:rsid w:val="00803B8A"/>
    <w:rsid w:val="00804048"/>
    <w:rsid w:val="008046C5"/>
    <w:rsid w:val="008046CB"/>
    <w:rsid w:val="00804ADB"/>
    <w:rsid w:val="00804C6E"/>
    <w:rsid w:val="00804C9B"/>
    <w:rsid w:val="00804DC6"/>
    <w:rsid w:val="00804F23"/>
    <w:rsid w:val="0080533A"/>
    <w:rsid w:val="00805CEF"/>
    <w:rsid w:val="00805DE0"/>
    <w:rsid w:val="00805FFF"/>
    <w:rsid w:val="0080690B"/>
    <w:rsid w:val="00806A2C"/>
    <w:rsid w:val="00806BC5"/>
    <w:rsid w:val="00806C9F"/>
    <w:rsid w:val="00807115"/>
    <w:rsid w:val="00807180"/>
    <w:rsid w:val="00807545"/>
    <w:rsid w:val="00807585"/>
    <w:rsid w:val="0080763A"/>
    <w:rsid w:val="00807DDF"/>
    <w:rsid w:val="00807E43"/>
    <w:rsid w:val="00810567"/>
    <w:rsid w:val="0081059C"/>
    <w:rsid w:val="00810615"/>
    <w:rsid w:val="008108B9"/>
    <w:rsid w:val="00810934"/>
    <w:rsid w:val="008110F4"/>
    <w:rsid w:val="0081220A"/>
    <w:rsid w:val="0081235B"/>
    <w:rsid w:val="008125BD"/>
    <w:rsid w:val="00812727"/>
    <w:rsid w:val="00812CA8"/>
    <w:rsid w:val="008135B9"/>
    <w:rsid w:val="008138B3"/>
    <w:rsid w:val="00813C85"/>
    <w:rsid w:val="00814213"/>
    <w:rsid w:val="00814482"/>
    <w:rsid w:val="0081454B"/>
    <w:rsid w:val="0081460D"/>
    <w:rsid w:val="00814971"/>
    <w:rsid w:val="00814C11"/>
    <w:rsid w:val="00815942"/>
    <w:rsid w:val="00815A0D"/>
    <w:rsid w:val="00815A78"/>
    <w:rsid w:val="008169C2"/>
    <w:rsid w:val="00816E63"/>
    <w:rsid w:val="0081701B"/>
    <w:rsid w:val="00817324"/>
    <w:rsid w:val="00817AE3"/>
    <w:rsid w:val="00817F61"/>
    <w:rsid w:val="00817F97"/>
    <w:rsid w:val="0082006F"/>
    <w:rsid w:val="0082026D"/>
    <w:rsid w:val="00820F7C"/>
    <w:rsid w:val="00820FA0"/>
    <w:rsid w:val="00820FB4"/>
    <w:rsid w:val="0082108B"/>
    <w:rsid w:val="00821168"/>
    <w:rsid w:val="008211F4"/>
    <w:rsid w:val="008214DA"/>
    <w:rsid w:val="00821B33"/>
    <w:rsid w:val="008222DF"/>
    <w:rsid w:val="00822AAD"/>
    <w:rsid w:val="00822AF5"/>
    <w:rsid w:val="00822BAF"/>
    <w:rsid w:val="008230DF"/>
    <w:rsid w:val="00823123"/>
    <w:rsid w:val="00823603"/>
    <w:rsid w:val="00823C07"/>
    <w:rsid w:val="00823FC9"/>
    <w:rsid w:val="00824023"/>
    <w:rsid w:val="00824772"/>
    <w:rsid w:val="00824A0A"/>
    <w:rsid w:val="00824C4E"/>
    <w:rsid w:val="00824FA0"/>
    <w:rsid w:val="008253C7"/>
    <w:rsid w:val="00825459"/>
    <w:rsid w:val="0082556D"/>
    <w:rsid w:val="00825D39"/>
    <w:rsid w:val="0082655D"/>
    <w:rsid w:val="00826633"/>
    <w:rsid w:val="008266B6"/>
    <w:rsid w:val="00826B3B"/>
    <w:rsid w:val="00826B5C"/>
    <w:rsid w:val="00826DD4"/>
    <w:rsid w:val="008271A7"/>
    <w:rsid w:val="0082750D"/>
    <w:rsid w:val="00827C61"/>
    <w:rsid w:val="00827D5A"/>
    <w:rsid w:val="00830349"/>
    <w:rsid w:val="00830CA3"/>
    <w:rsid w:val="00830D83"/>
    <w:rsid w:val="008310A5"/>
    <w:rsid w:val="00831201"/>
    <w:rsid w:val="00831AEA"/>
    <w:rsid w:val="008321CA"/>
    <w:rsid w:val="008322B2"/>
    <w:rsid w:val="00832325"/>
    <w:rsid w:val="00832830"/>
    <w:rsid w:val="008328C8"/>
    <w:rsid w:val="0083339C"/>
    <w:rsid w:val="0083367C"/>
    <w:rsid w:val="008337E2"/>
    <w:rsid w:val="00833FC5"/>
    <w:rsid w:val="00834545"/>
    <w:rsid w:val="0083503F"/>
    <w:rsid w:val="0083536B"/>
    <w:rsid w:val="008353D6"/>
    <w:rsid w:val="00835815"/>
    <w:rsid w:val="00835D34"/>
    <w:rsid w:val="00837437"/>
    <w:rsid w:val="0083744C"/>
    <w:rsid w:val="008375D2"/>
    <w:rsid w:val="00837BF0"/>
    <w:rsid w:val="00837D7F"/>
    <w:rsid w:val="00837FEC"/>
    <w:rsid w:val="00840A68"/>
    <w:rsid w:val="00840F55"/>
    <w:rsid w:val="00841BB6"/>
    <w:rsid w:val="00841C1D"/>
    <w:rsid w:val="00841D21"/>
    <w:rsid w:val="00841D3A"/>
    <w:rsid w:val="0084202E"/>
    <w:rsid w:val="008422A5"/>
    <w:rsid w:val="008422B3"/>
    <w:rsid w:val="00842906"/>
    <w:rsid w:val="00842EFB"/>
    <w:rsid w:val="0084317F"/>
    <w:rsid w:val="00843F63"/>
    <w:rsid w:val="00844028"/>
    <w:rsid w:val="0084436D"/>
    <w:rsid w:val="00844A5F"/>
    <w:rsid w:val="00845251"/>
    <w:rsid w:val="00845379"/>
    <w:rsid w:val="00845569"/>
    <w:rsid w:val="00845AC5"/>
    <w:rsid w:val="00846229"/>
    <w:rsid w:val="00846410"/>
    <w:rsid w:val="0084699E"/>
    <w:rsid w:val="00846EB2"/>
    <w:rsid w:val="00847006"/>
    <w:rsid w:val="00847208"/>
    <w:rsid w:val="00847EBD"/>
    <w:rsid w:val="0085039F"/>
    <w:rsid w:val="008506CD"/>
    <w:rsid w:val="00850B32"/>
    <w:rsid w:val="0085131F"/>
    <w:rsid w:val="00851441"/>
    <w:rsid w:val="0085166F"/>
    <w:rsid w:val="008519F8"/>
    <w:rsid w:val="00851E7A"/>
    <w:rsid w:val="00851F7C"/>
    <w:rsid w:val="00851F9A"/>
    <w:rsid w:val="008522F9"/>
    <w:rsid w:val="00852769"/>
    <w:rsid w:val="008528C2"/>
    <w:rsid w:val="00852BFA"/>
    <w:rsid w:val="00852E0D"/>
    <w:rsid w:val="0085306B"/>
    <w:rsid w:val="008532D7"/>
    <w:rsid w:val="0085345A"/>
    <w:rsid w:val="0085352F"/>
    <w:rsid w:val="008539AE"/>
    <w:rsid w:val="00853EE2"/>
    <w:rsid w:val="008541AC"/>
    <w:rsid w:val="0085434B"/>
    <w:rsid w:val="00854557"/>
    <w:rsid w:val="00854800"/>
    <w:rsid w:val="0085494C"/>
    <w:rsid w:val="00854B5A"/>
    <w:rsid w:val="00855282"/>
    <w:rsid w:val="008555B5"/>
    <w:rsid w:val="00855C2A"/>
    <w:rsid w:val="00855CC8"/>
    <w:rsid w:val="00855E00"/>
    <w:rsid w:val="008561BE"/>
    <w:rsid w:val="0085657D"/>
    <w:rsid w:val="00856DEC"/>
    <w:rsid w:val="00857214"/>
    <w:rsid w:val="008575C0"/>
    <w:rsid w:val="008577F3"/>
    <w:rsid w:val="00857917"/>
    <w:rsid w:val="0085797C"/>
    <w:rsid w:val="00857B8D"/>
    <w:rsid w:val="00857FC8"/>
    <w:rsid w:val="008604B2"/>
    <w:rsid w:val="0086079D"/>
    <w:rsid w:val="008608AB"/>
    <w:rsid w:val="00860E25"/>
    <w:rsid w:val="008610FB"/>
    <w:rsid w:val="00862195"/>
    <w:rsid w:val="008624CE"/>
    <w:rsid w:val="00862CCA"/>
    <w:rsid w:val="00862DDB"/>
    <w:rsid w:val="00862F6F"/>
    <w:rsid w:val="0086303E"/>
    <w:rsid w:val="00863682"/>
    <w:rsid w:val="00863915"/>
    <w:rsid w:val="00863F43"/>
    <w:rsid w:val="0086403C"/>
    <w:rsid w:val="00864365"/>
    <w:rsid w:val="008644C6"/>
    <w:rsid w:val="0086489C"/>
    <w:rsid w:val="00864AFB"/>
    <w:rsid w:val="00864C8B"/>
    <w:rsid w:val="00865397"/>
    <w:rsid w:val="008653C7"/>
    <w:rsid w:val="00865BF2"/>
    <w:rsid w:val="00865DAB"/>
    <w:rsid w:val="00866027"/>
    <w:rsid w:val="00866396"/>
    <w:rsid w:val="00866AD3"/>
    <w:rsid w:val="00866E73"/>
    <w:rsid w:val="00867341"/>
    <w:rsid w:val="008675BE"/>
    <w:rsid w:val="008677BE"/>
    <w:rsid w:val="00867A50"/>
    <w:rsid w:val="00867D40"/>
    <w:rsid w:val="00870358"/>
    <w:rsid w:val="0087069B"/>
    <w:rsid w:val="00870C81"/>
    <w:rsid w:val="008710D4"/>
    <w:rsid w:val="0087270F"/>
    <w:rsid w:val="0087358A"/>
    <w:rsid w:val="00873806"/>
    <w:rsid w:val="00873930"/>
    <w:rsid w:val="00873967"/>
    <w:rsid w:val="008739BF"/>
    <w:rsid w:val="00873A63"/>
    <w:rsid w:val="00873FCE"/>
    <w:rsid w:val="00874712"/>
    <w:rsid w:val="008754DF"/>
    <w:rsid w:val="00876687"/>
    <w:rsid w:val="00876708"/>
    <w:rsid w:val="00876857"/>
    <w:rsid w:val="0087699B"/>
    <w:rsid w:val="0087719B"/>
    <w:rsid w:val="00877371"/>
    <w:rsid w:val="00880D2C"/>
    <w:rsid w:val="00881661"/>
    <w:rsid w:val="00882376"/>
    <w:rsid w:val="00882A88"/>
    <w:rsid w:val="00882BAE"/>
    <w:rsid w:val="00882EA3"/>
    <w:rsid w:val="00882FA8"/>
    <w:rsid w:val="0088323E"/>
    <w:rsid w:val="008832D2"/>
    <w:rsid w:val="008835A7"/>
    <w:rsid w:val="0088386C"/>
    <w:rsid w:val="008839C6"/>
    <w:rsid w:val="00883EDE"/>
    <w:rsid w:val="008843B2"/>
    <w:rsid w:val="00884424"/>
    <w:rsid w:val="0088449B"/>
    <w:rsid w:val="00884523"/>
    <w:rsid w:val="00884617"/>
    <w:rsid w:val="008846BF"/>
    <w:rsid w:val="008848FA"/>
    <w:rsid w:val="00884E82"/>
    <w:rsid w:val="00884F9F"/>
    <w:rsid w:val="00885143"/>
    <w:rsid w:val="0088519B"/>
    <w:rsid w:val="0088546B"/>
    <w:rsid w:val="00885514"/>
    <w:rsid w:val="008859FE"/>
    <w:rsid w:val="008865D2"/>
    <w:rsid w:val="00887319"/>
    <w:rsid w:val="008877E3"/>
    <w:rsid w:val="00887F55"/>
    <w:rsid w:val="008901E3"/>
    <w:rsid w:val="00890444"/>
    <w:rsid w:val="008909EE"/>
    <w:rsid w:val="00890CA4"/>
    <w:rsid w:val="00890EFE"/>
    <w:rsid w:val="0089153B"/>
    <w:rsid w:val="00891710"/>
    <w:rsid w:val="00891CF5"/>
    <w:rsid w:val="00891D67"/>
    <w:rsid w:val="008926A8"/>
    <w:rsid w:val="008926F4"/>
    <w:rsid w:val="00892713"/>
    <w:rsid w:val="00892E6B"/>
    <w:rsid w:val="00892F09"/>
    <w:rsid w:val="008930A1"/>
    <w:rsid w:val="008930FB"/>
    <w:rsid w:val="00893133"/>
    <w:rsid w:val="00893615"/>
    <w:rsid w:val="00893920"/>
    <w:rsid w:val="00894050"/>
    <w:rsid w:val="00894894"/>
    <w:rsid w:val="00894B31"/>
    <w:rsid w:val="00894C34"/>
    <w:rsid w:val="00894E70"/>
    <w:rsid w:val="00895ABC"/>
    <w:rsid w:val="00896012"/>
    <w:rsid w:val="008967B1"/>
    <w:rsid w:val="00896863"/>
    <w:rsid w:val="00896BC0"/>
    <w:rsid w:val="00896BE6"/>
    <w:rsid w:val="00896D27"/>
    <w:rsid w:val="00896DCD"/>
    <w:rsid w:val="00896FEE"/>
    <w:rsid w:val="00897B4F"/>
    <w:rsid w:val="008A0162"/>
    <w:rsid w:val="008A05A1"/>
    <w:rsid w:val="008A0696"/>
    <w:rsid w:val="008A07B6"/>
    <w:rsid w:val="008A08A0"/>
    <w:rsid w:val="008A0B07"/>
    <w:rsid w:val="008A0E11"/>
    <w:rsid w:val="008A0E5B"/>
    <w:rsid w:val="008A0EFE"/>
    <w:rsid w:val="008A1729"/>
    <w:rsid w:val="008A1775"/>
    <w:rsid w:val="008A198E"/>
    <w:rsid w:val="008A1B9D"/>
    <w:rsid w:val="008A1CD1"/>
    <w:rsid w:val="008A1D5E"/>
    <w:rsid w:val="008A1EDF"/>
    <w:rsid w:val="008A1FBB"/>
    <w:rsid w:val="008A2408"/>
    <w:rsid w:val="008A2437"/>
    <w:rsid w:val="008A2743"/>
    <w:rsid w:val="008A28C4"/>
    <w:rsid w:val="008A2EBC"/>
    <w:rsid w:val="008A34CE"/>
    <w:rsid w:val="008A38FF"/>
    <w:rsid w:val="008A42C7"/>
    <w:rsid w:val="008A47A7"/>
    <w:rsid w:val="008A4A85"/>
    <w:rsid w:val="008A4C4E"/>
    <w:rsid w:val="008A4F3F"/>
    <w:rsid w:val="008A4F92"/>
    <w:rsid w:val="008A5147"/>
    <w:rsid w:val="008A518B"/>
    <w:rsid w:val="008A5662"/>
    <w:rsid w:val="008A57BD"/>
    <w:rsid w:val="008A5F25"/>
    <w:rsid w:val="008A641A"/>
    <w:rsid w:val="008A65A8"/>
    <w:rsid w:val="008A696D"/>
    <w:rsid w:val="008A6AD6"/>
    <w:rsid w:val="008A7399"/>
    <w:rsid w:val="008A7403"/>
    <w:rsid w:val="008A761E"/>
    <w:rsid w:val="008A764B"/>
    <w:rsid w:val="008A797B"/>
    <w:rsid w:val="008A7A94"/>
    <w:rsid w:val="008A7D0A"/>
    <w:rsid w:val="008A7FE2"/>
    <w:rsid w:val="008B0329"/>
    <w:rsid w:val="008B040B"/>
    <w:rsid w:val="008B0728"/>
    <w:rsid w:val="008B08CF"/>
    <w:rsid w:val="008B138A"/>
    <w:rsid w:val="008B146B"/>
    <w:rsid w:val="008B1934"/>
    <w:rsid w:val="008B1BA7"/>
    <w:rsid w:val="008B1DF6"/>
    <w:rsid w:val="008B1F69"/>
    <w:rsid w:val="008B20FE"/>
    <w:rsid w:val="008B237E"/>
    <w:rsid w:val="008B258F"/>
    <w:rsid w:val="008B25E0"/>
    <w:rsid w:val="008B27C6"/>
    <w:rsid w:val="008B2A70"/>
    <w:rsid w:val="008B2C17"/>
    <w:rsid w:val="008B2C19"/>
    <w:rsid w:val="008B32C5"/>
    <w:rsid w:val="008B33FC"/>
    <w:rsid w:val="008B3762"/>
    <w:rsid w:val="008B3AE5"/>
    <w:rsid w:val="008B3DAF"/>
    <w:rsid w:val="008B4395"/>
    <w:rsid w:val="008B49B3"/>
    <w:rsid w:val="008B4B49"/>
    <w:rsid w:val="008B52BA"/>
    <w:rsid w:val="008B59B7"/>
    <w:rsid w:val="008B5C51"/>
    <w:rsid w:val="008B5EA8"/>
    <w:rsid w:val="008B6278"/>
    <w:rsid w:val="008B6877"/>
    <w:rsid w:val="008B6BD4"/>
    <w:rsid w:val="008B6FAD"/>
    <w:rsid w:val="008B70CD"/>
    <w:rsid w:val="008B737B"/>
    <w:rsid w:val="008B7816"/>
    <w:rsid w:val="008B7953"/>
    <w:rsid w:val="008B7DA5"/>
    <w:rsid w:val="008C0125"/>
    <w:rsid w:val="008C01EF"/>
    <w:rsid w:val="008C038F"/>
    <w:rsid w:val="008C03C1"/>
    <w:rsid w:val="008C0887"/>
    <w:rsid w:val="008C13D7"/>
    <w:rsid w:val="008C170E"/>
    <w:rsid w:val="008C19AA"/>
    <w:rsid w:val="008C21F1"/>
    <w:rsid w:val="008C2228"/>
    <w:rsid w:val="008C224A"/>
    <w:rsid w:val="008C2E1C"/>
    <w:rsid w:val="008C31DE"/>
    <w:rsid w:val="008C334E"/>
    <w:rsid w:val="008C34C9"/>
    <w:rsid w:val="008C3A5D"/>
    <w:rsid w:val="008C3BA4"/>
    <w:rsid w:val="008C3D8A"/>
    <w:rsid w:val="008C3E6F"/>
    <w:rsid w:val="008C4A33"/>
    <w:rsid w:val="008C4CCC"/>
    <w:rsid w:val="008C516F"/>
    <w:rsid w:val="008C5383"/>
    <w:rsid w:val="008C55D1"/>
    <w:rsid w:val="008C5CC2"/>
    <w:rsid w:val="008C6069"/>
    <w:rsid w:val="008C609A"/>
    <w:rsid w:val="008C631D"/>
    <w:rsid w:val="008C67E5"/>
    <w:rsid w:val="008C6A5A"/>
    <w:rsid w:val="008C6BD7"/>
    <w:rsid w:val="008C6C8A"/>
    <w:rsid w:val="008C6E36"/>
    <w:rsid w:val="008C7302"/>
    <w:rsid w:val="008C73FC"/>
    <w:rsid w:val="008C7488"/>
    <w:rsid w:val="008C7832"/>
    <w:rsid w:val="008C798D"/>
    <w:rsid w:val="008C7A24"/>
    <w:rsid w:val="008C7FFB"/>
    <w:rsid w:val="008D00D8"/>
    <w:rsid w:val="008D05F3"/>
    <w:rsid w:val="008D0613"/>
    <w:rsid w:val="008D07EF"/>
    <w:rsid w:val="008D08DB"/>
    <w:rsid w:val="008D16F4"/>
    <w:rsid w:val="008D29BF"/>
    <w:rsid w:val="008D2C23"/>
    <w:rsid w:val="008D2D4C"/>
    <w:rsid w:val="008D3117"/>
    <w:rsid w:val="008D3417"/>
    <w:rsid w:val="008D363E"/>
    <w:rsid w:val="008D3902"/>
    <w:rsid w:val="008D3C67"/>
    <w:rsid w:val="008D3E45"/>
    <w:rsid w:val="008D4486"/>
    <w:rsid w:val="008D49AF"/>
    <w:rsid w:val="008D4AFD"/>
    <w:rsid w:val="008D4B90"/>
    <w:rsid w:val="008D4F66"/>
    <w:rsid w:val="008D5742"/>
    <w:rsid w:val="008D5790"/>
    <w:rsid w:val="008D5802"/>
    <w:rsid w:val="008D5AA4"/>
    <w:rsid w:val="008D5B24"/>
    <w:rsid w:val="008D5CE6"/>
    <w:rsid w:val="008D6489"/>
    <w:rsid w:val="008D6A6E"/>
    <w:rsid w:val="008D6C0B"/>
    <w:rsid w:val="008D6E3E"/>
    <w:rsid w:val="008D6EE4"/>
    <w:rsid w:val="008D71DB"/>
    <w:rsid w:val="008D749B"/>
    <w:rsid w:val="008D75C3"/>
    <w:rsid w:val="008D7BE8"/>
    <w:rsid w:val="008D7DEF"/>
    <w:rsid w:val="008E0072"/>
    <w:rsid w:val="008E0226"/>
    <w:rsid w:val="008E0867"/>
    <w:rsid w:val="008E0BD1"/>
    <w:rsid w:val="008E1207"/>
    <w:rsid w:val="008E1238"/>
    <w:rsid w:val="008E182E"/>
    <w:rsid w:val="008E1A0A"/>
    <w:rsid w:val="008E1A36"/>
    <w:rsid w:val="008E1BA6"/>
    <w:rsid w:val="008E2140"/>
    <w:rsid w:val="008E2533"/>
    <w:rsid w:val="008E2EF1"/>
    <w:rsid w:val="008E31B0"/>
    <w:rsid w:val="008E331C"/>
    <w:rsid w:val="008E3478"/>
    <w:rsid w:val="008E3CAD"/>
    <w:rsid w:val="008E455B"/>
    <w:rsid w:val="008E4906"/>
    <w:rsid w:val="008E4B9A"/>
    <w:rsid w:val="008E4E0C"/>
    <w:rsid w:val="008E51B7"/>
    <w:rsid w:val="008E528C"/>
    <w:rsid w:val="008E52B0"/>
    <w:rsid w:val="008E530B"/>
    <w:rsid w:val="008E560F"/>
    <w:rsid w:val="008E5937"/>
    <w:rsid w:val="008E5D44"/>
    <w:rsid w:val="008E5D89"/>
    <w:rsid w:val="008E60F4"/>
    <w:rsid w:val="008E650E"/>
    <w:rsid w:val="008E680D"/>
    <w:rsid w:val="008E6AF8"/>
    <w:rsid w:val="008E6B67"/>
    <w:rsid w:val="008E7622"/>
    <w:rsid w:val="008E7974"/>
    <w:rsid w:val="008E7E06"/>
    <w:rsid w:val="008F0518"/>
    <w:rsid w:val="008F0688"/>
    <w:rsid w:val="008F0C30"/>
    <w:rsid w:val="008F0CA7"/>
    <w:rsid w:val="008F1196"/>
    <w:rsid w:val="008F1574"/>
    <w:rsid w:val="008F1651"/>
    <w:rsid w:val="008F181A"/>
    <w:rsid w:val="008F1B85"/>
    <w:rsid w:val="008F1C72"/>
    <w:rsid w:val="008F275E"/>
    <w:rsid w:val="008F2770"/>
    <w:rsid w:val="008F2A4E"/>
    <w:rsid w:val="008F31BA"/>
    <w:rsid w:val="008F3B1E"/>
    <w:rsid w:val="008F3ED4"/>
    <w:rsid w:val="008F44DB"/>
    <w:rsid w:val="008F48C7"/>
    <w:rsid w:val="008F4E16"/>
    <w:rsid w:val="008F506D"/>
    <w:rsid w:val="008F5442"/>
    <w:rsid w:val="008F58BD"/>
    <w:rsid w:val="008F5B65"/>
    <w:rsid w:val="008F5D20"/>
    <w:rsid w:val="008F6438"/>
    <w:rsid w:val="008F6AD7"/>
    <w:rsid w:val="008F6D38"/>
    <w:rsid w:val="008F78EB"/>
    <w:rsid w:val="008F7F7A"/>
    <w:rsid w:val="00900064"/>
    <w:rsid w:val="0090010D"/>
    <w:rsid w:val="0090042F"/>
    <w:rsid w:val="009006FE"/>
    <w:rsid w:val="00900A14"/>
    <w:rsid w:val="00900ECF"/>
    <w:rsid w:val="00900F52"/>
    <w:rsid w:val="00901871"/>
    <w:rsid w:val="00902638"/>
    <w:rsid w:val="0090269D"/>
    <w:rsid w:val="009028E2"/>
    <w:rsid w:val="00902F6C"/>
    <w:rsid w:val="00902F8F"/>
    <w:rsid w:val="00902FE1"/>
    <w:rsid w:val="00903147"/>
    <w:rsid w:val="009032F7"/>
    <w:rsid w:val="00903523"/>
    <w:rsid w:val="009036FC"/>
    <w:rsid w:val="00903B88"/>
    <w:rsid w:val="00903F4B"/>
    <w:rsid w:val="00903FC1"/>
    <w:rsid w:val="00903FD9"/>
    <w:rsid w:val="009048BD"/>
    <w:rsid w:val="009053D8"/>
    <w:rsid w:val="009055A7"/>
    <w:rsid w:val="009059AE"/>
    <w:rsid w:val="009067FC"/>
    <w:rsid w:val="00906918"/>
    <w:rsid w:val="00906AC2"/>
    <w:rsid w:val="009076E6"/>
    <w:rsid w:val="00907DB4"/>
    <w:rsid w:val="009106C7"/>
    <w:rsid w:val="009109E6"/>
    <w:rsid w:val="00910C4C"/>
    <w:rsid w:val="0091104A"/>
    <w:rsid w:val="009117D8"/>
    <w:rsid w:val="009118D2"/>
    <w:rsid w:val="00911B23"/>
    <w:rsid w:val="00911F76"/>
    <w:rsid w:val="0091203B"/>
    <w:rsid w:val="00912CB5"/>
    <w:rsid w:val="0091333B"/>
    <w:rsid w:val="00913547"/>
    <w:rsid w:val="00913718"/>
    <w:rsid w:val="0091378F"/>
    <w:rsid w:val="009138C1"/>
    <w:rsid w:val="00913A3B"/>
    <w:rsid w:val="00913DDA"/>
    <w:rsid w:val="009140FF"/>
    <w:rsid w:val="009144D7"/>
    <w:rsid w:val="00914546"/>
    <w:rsid w:val="00914571"/>
    <w:rsid w:val="0091469F"/>
    <w:rsid w:val="00914A40"/>
    <w:rsid w:val="0091564F"/>
    <w:rsid w:val="0091581C"/>
    <w:rsid w:val="009159EA"/>
    <w:rsid w:val="00915A21"/>
    <w:rsid w:val="00915AAE"/>
    <w:rsid w:val="0091633A"/>
    <w:rsid w:val="009165D9"/>
    <w:rsid w:val="00916C20"/>
    <w:rsid w:val="00916C5E"/>
    <w:rsid w:val="00917044"/>
    <w:rsid w:val="009205BA"/>
    <w:rsid w:val="00920BEC"/>
    <w:rsid w:val="00920C49"/>
    <w:rsid w:val="00921A73"/>
    <w:rsid w:val="00921E4C"/>
    <w:rsid w:val="00922519"/>
    <w:rsid w:val="00922599"/>
    <w:rsid w:val="0092286C"/>
    <w:rsid w:val="0092322C"/>
    <w:rsid w:val="00923455"/>
    <w:rsid w:val="009234B1"/>
    <w:rsid w:val="00923576"/>
    <w:rsid w:val="009235CD"/>
    <w:rsid w:val="00923624"/>
    <w:rsid w:val="00923CA7"/>
    <w:rsid w:val="00923DA4"/>
    <w:rsid w:val="00923E65"/>
    <w:rsid w:val="00924837"/>
    <w:rsid w:val="00924D81"/>
    <w:rsid w:val="00924E97"/>
    <w:rsid w:val="009252ED"/>
    <w:rsid w:val="00925666"/>
    <w:rsid w:val="009258B6"/>
    <w:rsid w:val="00926133"/>
    <w:rsid w:val="0092614C"/>
    <w:rsid w:val="009261D3"/>
    <w:rsid w:val="0092646A"/>
    <w:rsid w:val="00926702"/>
    <w:rsid w:val="00926945"/>
    <w:rsid w:val="00926D76"/>
    <w:rsid w:val="00926D7C"/>
    <w:rsid w:val="00926FF0"/>
    <w:rsid w:val="0092740F"/>
    <w:rsid w:val="0092753B"/>
    <w:rsid w:val="00927A81"/>
    <w:rsid w:val="00927D57"/>
    <w:rsid w:val="00927F02"/>
    <w:rsid w:val="0093021E"/>
    <w:rsid w:val="0093046E"/>
    <w:rsid w:val="00930DB4"/>
    <w:rsid w:val="009311F2"/>
    <w:rsid w:val="00931291"/>
    <w:rsid w:val="009318F5"/>
    <w:rsid w:val="00931B3C"/>
    <w:rsid w:val="0093200B"/>
    <w:rsid w:val="0093205B"/>
    <w:rsid w:val="009324A6"/>
    <w:rsid w:val="00932AE9"/>
    <w:rsid w:val="00932E28"/>
    <w:rsid w:val="00932F81"/>
    <w:rsid w:val="00932FF0"/>
    <w:rsid w:val="0093302A"/>
    <w:rsid w:val="00933A72"/>
    <w:rsid w:val="00933E0C"/>
    <w:rsid w:val="00934151"/>
    <w:rsid w:val="0093444C"/>
    <w:rsid w:val="009349D9"/>
    <w:rsid w:val="009351FB"/>
    <w:rsid w:val="009357D1"/>
    <w:rsid w:val="00935AA5"/>
    <w:rsid w:val="00935AC6"/>
    <w:rsid w:val="00935E5E"/>
    <w:rsid w:val="009360FA"/>
    <w:rsid w:val="0093668F"/>
    <w:rsid w:val="009368FC"/>
    <w:rsid w:val="00936E74"/>
    <w:rsid w:val="00936E7F"/>
    <w:rsid w:val="00937417"/>
    <w:rsid w:val="009376B1"/>
    <w:rsid w:val="00937797"/>
    <w:rsid w:val="00937A1E"/>
    <w:rsid w:val="0094045B"/>
    <w:rsid w:val="00940532"/>
    <w:rsid w:val="009405A6"/>
    <w:rsid w:val="009409B2"/>
    <w:rsid w:val="009411E8"/>
    <w:rsid w:val="009414D4"/>
    <w:rsid w:val="00941FEE"/>
    <w:rsid w:val="00942225"/>
    <w:rsid w:val="00942350"/>
    <w:rsid w:val="009423DE"/>
    <w:rsid w:val="00942464"/>
    <w:rsid w:val="00942480"/>
    <w:rsid w:val="00942680"/>
    <w:rsid w:val="009429BC"/>
    <w:rsid w:val="00942A26"/>
    <w:rsid w:val="00942AA0"/>
    <w:rsid w:val="00942B72"/>
    <w:rsid w:val="009432B5"/>
    <w:rsid w:val="009433EB"/>
    <w:rsid w:val="009438A2"/>
    <w:rsid w:val="0094398E"/>
    <w:rsid w:val="00943EDC"/>
    <w:rsid w:val="009442BB"/>
    <w:rsid w:val="0094492D"/>
    <w:rsid w:val="00944C0C"/>
    <w:rsid w:val="009451A4"/>
    <w:rsid w:val="009457CC"/>
    <w:rsid w:val="0094585E"/>
    <w:rsid w:val="00945B68"/>
    <w:rsid w:val="00945FCA"/>
    <w:rsid w:val="00946762"/>
    <w:rsid w:val="00946C04"/>
    <w:rsid w:val="00946F27"/>
    <w:rsid w:val="00947010"/>
    <w:rsid w:val="0094764B"/>
    <w:rsid w:val="00947799"/>
    <w:rsid w:val="00947800"/>
    <w:rsid w:val="00947A8B"/>
    <w:rsid w:val="00947CE1"/>
    <w:rsid w:val="00947E4A"/>
    <w:rsid w:val="0095009E"/>
    <w:rsid w:val="0095098C"/>
    <w:rsid w:val="00950FBE"/>
    <w:rsid w:val="009517A8"/>
    <w:rsid w:val="009519EB"/>
    <w:rsid w:val="00952177"/>
    <w:rsid w:val="009528C1"/>
    <w:rsid w:val="00952B12"/>
    <w:rsid w:val="00952CAF"/>
    <w:rsid w:val="00952DE7"/>
    <w:rsid w:val="00952E2F"/>
    <w:rsid w:val="00952F0A"/>
    <w:rsid w:val="00953149"/>
    <w:rsid w:val="0095319D"/>
    <w:rsid w:val="009531A4"/>
    <w:rsid w:val="00953503"/>
    <w:rsid w:val="009536C3"/>
    <w:rsid w:val="0095381E"/>
    <w:rsid w:val="00953E4D"/>
    <w:rsid w:val="00954082"/>
    <w:rsid w:val="009547E8"/>
    <w:rsid w:val="00954A24"/>
    <w:rsid w:val="00955035"/>
    <w:rsid w:val="00955429"/>
    <w:rsid w:val="009557A9"/>
    <w:rsid w:val="00955BC1"/>
    <w:rsid w:val="00955E50"/>
    <w:rsid w:val="00955E62"/>
    <w:rsid w:val="00956191"/>
    <w:rsid w:val="00956739"/>
    <w:rsid w:val="00956870"/>
    <w:rsid w:val="00956B3B"/>
    <w:rsid w:val="00956C52"/>
    <w:rsid w:val="0095743C"/>
    <w:rsid w:val="00957517"/>
    <w:rsid w:val="00957D0E"/>
    <w:rsid w:val="00957E9F"/>
    <w:rsid w:val="0096036A"/>
    <w:rsid w:val="009603D6"/>
    <w:rsid w:val="0096065C"/>
    <w:rsid w:val="00960B60"/>
    <w:rsid w:val="00960D7A"/>
    <w:rsid w:val="009611D7"/>
    <w:rsid w:val="00961A09"/>
    <w:rsid w:val="00961C9C"/>
    <w:rsid w:val="00961D49"/>
    <w:rsid w:val="00961D70"/>
    <w:rsid w:val="00961DA6"/>
    <w:rsid w:val="00961F63"/>
    <w:rsid w:val="00962407"/>
    <w:rsid w:val="009630ED"/>
    <w:rsid w:val="009631CD"/>
    <w:rsid w:val="009636FF"/>
    <w:rsid w:val="00963CCB"/>
    <w:rsid w:val="00963E2A"/>
    <w:rsid w:val="009640BB"/>
    <w:rsid w:val="00964453"/>
    <w:rsid w:val="00964C36"/>
    <w:rsid w:val="00964ED9"/>
    <w:rsid w:val="00964FDB"/>
    <w:rsid w:val="00965045"/>
    <w:rsid w:val="009650DF"/>
    <w:rsid w:val="0096519D"/>
    <w:rsid w:val="0096556F"/>
    <w:rsid w:val="00965D5D"/>
    <w:rsid w:val="009660C7"/>
    <w:rsid w:val="009661C3"/>
    <w:rsid w:val="009665C6"/>
    <w:rsid w:val="009668FB"/>
    <w:rsid w:val="00966DBA"/>
    <w:rsid w:val="00967531"/>
    <w:rsid w:val="009676D1"/>
    <w:rsid w:val="00967731"/>
    <w:rsid w:val="00967FBF"/>
    <w:rsid w:val="009705C3"/>
    <w:rsid w:val="009706E6"/>
    <w:rsid w:val="00971234"/>
    <w:rsid w:val="009712DE"/>
    <w:rsid w:val="0097152C"/>
    <w:rsid w:val="0097181F"/>
    <w:rsid w:val="00972D7B"/>
    <w:rsid w:val="00972DC3"/>
    <w:rsid w:val="00973B7B"/>
    <w:rsid w:val="00974049"/>
    <w:rsid w:val="00974AE5"/>
    <w:rsid w:val="00974D61"/>
    <w:rsid w:val="00974EA3"/>
    <w:rsid w:val="00974F94"/>
    <w:rsid w:val="009750D3"/>
    <w:rsid w:val="00975257"/>
    <w:rsid w:val="009755D4"/>
    <w:rsid w:val="009755F0"/>
    <w:rsid w:val="00975637"/>
    <w:rsid w:val="00975AF5"/>
    <w:rsid w:val="0097647C"/>
    <w:rsid w:val="009766FD"/>
    <w:rsid w:val="009768D4"/>
    <w:rsid w:val="00976A68"/>
    <w:rsid w:val="00976AA1"/>
    <w:rsid w:val="00976C9A"/>
    <w:rsid w:val="009778E5"/>
    <w:rsid w:val="00980417"/>
    <w:rsid w:val="0098078A"/>
    <w:rsid w:val="00980A70"/>
    <w:rsid w:val="00980BDA"/>
    <w:rsid w:val="00980FED"/>
    <w:rsid w:val="009815FB"/>
    <w:rsid w:val="0098236F"/>
    <w:rsid w:val="00982B0F"/>
    <w:rsid w:val="00982CC2"/>
    <w:rsid w:val="00982ED3"/>
    <w:rsid w:val="0098353F"/>
    <w:rsid w:val="0098387D"/>
    <w:rsid w:val="00983E6A"/>
    <w:rsid w:val="0098419C"/>
    <w:rsid w:val="00984876"/>
    <w:rsid w:val="00985450"/>
    <w:rsid w:val="00985487"/>
    <w:rsid w:val="009855FF"/>
    <w:rsid w:val="0098561A"/>
    <w:rsid w:val="00985860"/>
    <w:rsid w:val="009867E1"/>
    <w:rsid w:val="009869FD"/>
    <w:rsid w:val="00986BE0"/>
    <w:rsid w:val="00986C63"/>
    <w:rsid w:val="00987456"/>
    <w:rsid w:val="0098760D"/>
    <w:rsid w:val="00987C82"/>
    <w:rsid w:val="00987CD9"/>
    <w:rsid w:val="00987D2D"/>
    <w:rsid w:val="0099025C"/>
    <w:rsid w:val="009903B9"/>
    <w:rsid w:val="00990785"/>
    <w:rsid w:val="0099083E"/>
    <w:rsid w:val="00990FF7"/>
    <w:rsid w:val="0099143A"/>
    <w:rsid w:val="00991497"/>
    <w:rsid w:val="009915F5"/>
    <w:rsid w:val="009916B6"/>
    <w:rsid w:val="00991CDD"/>
    <w:rsid w:val="00991F2E"/>
    <w:rsid w:val="0099208F"/>
    <w:rsid w:val="009922CE"/>
    <w:rsid w:val="009927E4"/>
    <w:rsid w:val="00992AD9"/>
    <w:rsid w:val="009932FB"/>
    <w:rsid w:val="00993505"/>
    <w:rsid w:val="009939BC"/>
    <w:rsid w:val="009945D0"/>
    <w:rsid w:val="009949A4"/>
    <w:rsid w:val="00994A97"/>
    <w:rsid w:val="00994F02"/>
    <w:rsid w:val="009954FA"/>
    <w:rsid w:val="00995529"/>
    <w:rsid w:val="009955F0"/>
    <w:rsid w:val="009959A9"/>
    <w:rsid w:val="009961E2"/>
    <w:rsid w:val="009963FC"/>
    <w:rsid w:val="00996A35"/>
    <w:rsid w:val="00996F55"/>
    <w:rsid w:val="00997013"/>
    <w:rsid w:val="009973CD"/>
    <w:rsid w:val="009976D5"/>
    <w:rsid w:val="009978AE"/>
    <w:rsid w:val="00997AD2"/>
    <w:rsid w:val="00997AF0"/>
    <w:rsid w:val="00997B7C"/>
    <w:rsid w:val="00997BFE"/>
    <w:rsid w:val="00997C3C"/>
    <w:rsid w:val="00997DEC"/>
    <w:rsid w:val="00997F37"/>
    <w:rsid w:val="00997F74"/>
    <w:rsid w:val="00997F87"/>
    <w:rsid w:val="009A0373"/>
    <w:rsid w:val="009A0678"/>
    <w:rsid w:val="009A0912"/>
    <w:rsid w:val="009A0B7C"/>
    <w:rsid w:val="009A108B"/>
    <w:rsid w:val="009A196F"/>
    <w:rsid w:val="009A19A8"/>
    <w:rsid w:val="009A1C1D"/>
    <w:rsid w:val="009A21CC"/>
    <w:rsid w:val="009A2362"/>
    <w:rsid w:val="009A23EA"/>
    <w:rsid w:val="009A2A61"/>
    <w:rsid w:val="009A30B7"/>
    <w:rsid w:val="009A30E9"/>
    <w:rsid w:val="009A3587"/>
    <w:rsid w:val="009A48EF"/>
    <w:rsid w:val="009A51A7"/>
    <w:rsid w:val="009A5C29"/>
    <w:rsid w:val="009A69EA"/>
    <w:rsid w:val="009A6BE1"/>
    <w:rsid w:val="009A6E71"/>
    <w:rsid w:val="009A6EC6"/>
    <w:rsid w:val="009A7030"/>
    <w:rsid w:val="009A7073"/>
    <w:rsid w:val="009A7168"/>
    <w:rsid w:val="009A7E38"/>
    <w:rsid w:val="009B0031"/>
    <w:rsid w:val="009B0209"/>
    <w:rsid w:val="009B0449"/>
    <w:rsid w:val="009B0867"/>
    <w:rsid w:val="009B0C40"/>
    <w:rsid w:val="009B1FB6"/>
    <w:rsid w:val="009B2239"/>
    <w:rsid w:val="009B22D8"/>
    <w:rsid w:val="009B2614"/>
    <w:rsid w:val="009B2696"/>
    <w:rsid w:val="009B284B"/>
    <w:rsid w:val="009B28C9"/>
    <w:rsid w:val="009B2A0E"/>
    <w:rsid w:val="009B2A68"/>
    <w:rsid w:val="009B2ACF"/>
    <w:rsid w:val="009B2BEA"/>
    <w:rsid w:val="009B35C0"/>
    <w:rsid w:val="009B3BE4"/>
    <w:rsid w:val="009B3FE1"/>
    <w:rsid w:val="009B4134"/>
    <w:rsid w:val="009B4333"/>
    <w:rsid w:val="009B4B02"/>
    <w:rsid w:val="009B4BB1"/>
    <w:rsid w:val="009B5416"/>
    <w:rsid w:val="009B582B"/>
    <w:rsid w:val="009B59BC"/>
    <w:rsid w:val="009B5A44"/>
    <w:rsid w:val="009B5AA4"/>
    <w:rsid w:val="009B5D20"/>
    <w:rsid w:val="009B5E9D"/>
    <w:rsid w:val="009B642A"/>
    <w:rsid w:val="009B65EB"/>
    <w:rsid w:val="009B6891"/>
    <w:rsid w:val="009B6E29"/>
    <w:rsid w:val="009B702C"/>
    <w:rsid w:val="009B7076"/>
    <w:rsid w:val="009B726E"/>
    <w:rsid w:val="009B73F6"/>
    <w:rsid w:val="009B759C"/>
    <w:rsid w:val="009B76C6"/>
    <w:rsid w:val="009B7AAF"/>
    <w:rsid w:val="009C057E"/>
    <w:rsid w:val="009C0B03"/>
    <w:rsid w:val="009C19E3"/>
    <w:rsid w:val="009C1A1A"/>
    <w:rsid w:val="009C1F9A"/>
    <w:rsid w:val="009C2AF7"/>
    <w:rsid w:val="009C3C10"/>
    <w:rsid w:val="009C3EF6"/>
    <w:rsid w:val="009C4CB8"/>
    <w:rsid w:val="009C4CF6"/>
    <w:rsid w:val="009C4DBF"/>
    <w:rsid w:val="009C5282"/>
    <w:rsid w:val="009C5588"/>
    <w:rsid w:val="009C5736"/>
    <w:rsid w:val="009C57E7"/>
    <w:rsid w:val="009C57FC"/>
    <w:rsid w:val="009C5AA3"/>
    <w:rsid w:val="009C5AC1"/>
    <w:rsid w:val="009C6A6E"/>
    <w:rsid w:val="009C6B7E"/>
    <w:rsid w:val="009C6C12"/>
    <w:rsid w:val="009C6D0C"/>
    <w:rsid w:val="009C6D20"/>
    <w:rsid w:val="009C6DB1"/>
    <w:rsid w:val="009C7261"/>
    <w:rsid w:val="009C7676"/>
    <w:rsid w:val="009C7C12"/>
    <w:rsid w:val="009D01FB"/>
    <w:rsid w:val="009D03B6"/>
    <w:rsid w:val="009D053C"/>
    <w:rsid w:val="009D08F9"/>
    <w:rsid w:val="009D0C4F"/>
    <w:rsid w:val="009D1026"/>
    <w:rsid w:val="009D1070"/>
    <w:rsid w:val="009D1843"/>
    <w:rsid w:val="009D1D8A"/>
    <w:rsid w:val="009D22F2"/>
    <w:rsid w:val="009D25B7"/>
    <w:rsid w:val="009D290D"/>
    <w:rsid w:val="009D2B0F"/>
    <w:rsid w:val="009D2C25"/>
    <w:rsid w:val="009D3132"/>
    <w:rsid w:val="009D316C"/>
    <w:rsid w:val="009D31C9"/>
    <w:rsid w:val="009D36DB"/>
    <w:rsid w:val="009D3773"/>
    <w:rsid w:val="009D3A1C"/>
    <w:rsid w:val="009D3AE7"/>
    <w:rsid w:val="009D3CAB"/>
    <w:rsid w:val="009D3CAF"/>
    <w:rsid w:val="009D464A"/>
    <w:rsid w:val="009D4D27"/>
    <w:rsid w:val="009D550B"/>
    <w:rsid w:val="009D5626"/>
    <w:rsid w:val="009D5889"/>
    <w:rsid w:val="009D5C9A"/>
    <w:rsid w:val="009D5E2F"/>
    <w:rsid w:val="009D6499"/>
    <w:rsid w:val="009D65D4"/>
    <w:rsid w:val="009D6975"/>
    <w:rsid w:val="009D6A06"/>
    <w:rsid w:val="009D6AD2"/>
    <w:rsid w:val="009D6CC5"/>
    <w:rsid w:val="009D7335"/>
    <w:rsid w:val="009D79FB"/>
    <w:rsid w:val="009E01C9"/>
    <w:rsid w:val="009E07B2"/>
    <w:rsid w:val="009E0882"/>
    <w:rsid w:val="009E0D6F"/>
    <w:rsid w:val="009E1760"/>
    <w:rsid w:val="009E1A17"/>
    <w:rsid w:val="009E1F0E"/>
    <w:rsid w:val="009E2022"/>
    <w:rsid w:val="009E279F"/>
    <w:rsid w:val="009E2899"/>
    <w:rsid w:val="009E2930"/>
    <w:rsid w:val="009E2C01"/>
    <w:rsid w:val="009E2C48"/>
    <w:rsid w:val="009E2D1A"/>
    <w:rsid w:val="009E2E2A"/>
    <w:rsid w:val="009E2FF7"/>
    <w:rsid w:val="009E314A"/>
    <w:rsid w:val="009E31F1"/>
    <w:rsid w:val="009E3488"/>
    <w:rsid w:val="009E37B4"/>
    <w:rsid w:val="009E3F8D"/>
    <w:rsid w:val="009E401D"/>
    <w:rsid w:val="009E4035"/>
    <w:rsid w:val="009E419A"/>
    <w:rsid w:val="009E4412"/>
    <w:rsid w:val="009E4659"/>
    <w:rsid w:val="009E4DD1"/>
    <w:rsid w:val="009E507B"/>
    <w:rsid w:val="009E5316"/>
    <w:rsid w:val="009E5A39"/>
    <w:rsid w:val="009E5BC0"/>
    <w:rsid w:val="009E6245"/>
    <w:rsid w:val="009E648A"/>
    <w:rsid w:val="009E6A4E"/>
    <w:rsid w:val="009E6C9D"/>
    <w:rsid w:val="009E7D78"/>
    <w:rsid w:val="009E7E38"/>
    <w:rsid w:val="009F007C"/>
    <w:rsid w:val="009F03CE"/>
    <w:rsid w:val="009F171A"/>
    <w:rsid w:val="009F1A63"/>
    <w:rsid w:val="009F1AD2"/>
    <w:rsid w:val="009F1B58"/>
    <w:rsid w:val="009F2337"/>
    <w:rsid w:val="009F23B3"/>
    <w:rsid w:val="009F23D2"/>
    <w:rsid w:val="009F24F7"/>
    <w:rsid w:val="009F26B5"/>
    <w:rsid w:val="009F2B21"/>
    <w:rsid w:val="009F2CDC"/>
    <w:rsid w:val="009F2DA6"/>
    <w:rsid w:val="009F2F1F"/>
    <w:rsid w:val="009F355A"/>
    <w:rsid w:val="009F3626"/>
    <w:rsid w:val="009F3666"/>
    <w:rsid w:val="009F45F8"/>
    <w:rsid w:val="009F4CE6"/>
    <w:rsid w:val="009F53ED"/>
    <w:rsid w:val="009F6270"/>
    <w:rsid w:val="009F6404"/>
    <w:rsid w:val="009F6849"/>
    <w:rsid w:val="009F6889"/>
    <w:rsid w:val="009F6984"/>
    <w:rsid w:val="009F6D94"/>
    <w:rsid w:val="009F6FFD"/>
    <w:rsid w:val="009F795F"/>
    <w:rsid w:val="009F7E84"/>
    <w:rsid w:val="00A00355"/>
    <w:rsid w:val="00A008EE"/>
    <w:rsid w:val="00A00DD7"/>
    <w:rsid w:val="00A0107F"/>
    <w:rsid w:val="00A014A4"/>
    <w:rsid w:val="00A01CEB"/>
    <w:rsid w:val="00A01E3D"/>
    <w:rsid w:val="00A025F7"/>
    <w:rsid w:val="00A02D9E"/>
    <w:rsid w:val="00A03110"/>
    <w:rsid w:val="00A04263"/>
    <w:rsid w:val="00A0472C"/>
    <w:rsid w:val="00A04CF9"/>
    <w:rsid w:val="00A05145"/>
    <w:rsid w:val="00A051E0"/>
    <w:rsid w:val="00A066D9"/>
    <w:rsid w:val="00A06A5B"/>
    <w:rsid w:val="00A06E98"/>
    <w:rsid w:val="00A07460"/>
    <w:rsid w:val="00A07575"/>
    <w:rsid w:val="00A07775"/>
    <w:rsid w:val="00A077C0"/>
    <w:rsid w:val="00A07AED"/>
    <w:rsid w:val="00A106A2"/>
    <w:rsid w:val="00A109F1"/>
    <w:rsid w:val="00A10DD0"/>
    <w:rsid w:val="00A10FE3"/>
    <w:rsid w:val="00A112F0"/>
    <w:rsid w:val="00A1159C"/>
    <w:rsid w:val="00A11BF8"/>
    <w:rsid w:val="00A11C86"/>
    <w:rsid w:val="00A120C2"/>
    <w:rsid w:val="00A1218A"/>
    <w:rsid w:val="00A125F0"/>
    <w:rsid w:val="00A12A09"/>
    <w:rsid w:val="00A13129"/>
    <w:rsid w:val="00A13875"/>
    <w:rsid w:val="00A13B3A"/>
    <w:rsid w:val="00A13BEA"/>
    <w:rsid w:val="00A13C0F"/>
    <w:rsid w:val="00A13D43"/>
    <w:rsid w:val="00A13E36"/>
    <w:rsid w:val="00A1404F"/>
    <w:rsid w:val="00A147D7"/>
    <w:rsid w:val="00A14824"/>
    <w:rsid w:val="00A14954"/>
    <w:rsid w:val="00A14A19"/>
    <w:rsid w:val="00A14BA3"/>
    <w:rsid w:val="00A14BEF"/>
    <w:rsid w:val="00A14C5E"/>
    <w:rsid w:val="00A15142"/>
    <w:rsid w:val="00A15874"/>
    <w:rsid w:val="00A15BEB"/>
    <w:rsid w:val="00A162BC"/>
    <w:rsid w:val="00A164FA"/>
    <w:rsid w:val="00A169F7"/>
    <w:rsid w:val="00A16D90"/>
    <w:rsid w:val="00A17232"/>
    <w:rsid w:val="00A17415"/>
    <w:rsid w:val="00A1747E"/>
    <w:rsid w:val="00A176B1"/>
    <w:rsid w:val="00A17A2F"/>
    <w:rsid w:val="00A17A6C"/>
    <w:rsid w:val="00A17BDA"/>
    <w:rsid w:val="00A17E40"/>
    <w:rsid w:val="00A17FA8"/>
    <w:rsid w:val="00A2018D"/>
    <w:rsid w:val="00A20B50"/>
    <w:rsid w:val="00A20C9B"/>
    <w:rsid w:val="00A210E6"/>
    <w:rsid w:val="00A21160"/>
    <w:rsid w:val="00A21871"/>
    <w:rsid w:val="00A218D8"/>
    <w:rsid w:val="00A2195B"/>
    <w:rsid w:val="00A219EF"/>
    <w:rsid w:val="00A21AC0"/>
    <w:rsid w:val="00A21C2A"/>
    <w:rsid w:val="00A21F85"/>
    <w:rsid w:val="00A220A6"/>
    <w:rsid w:val="00A221C3"/>
    <w:rsid w:val="00A22908"/>
    <w:rsid w:val="00A23D8C"/>
    <w:rsid w:val="00A24C66"/>
    <w:rsid w:val="00A25149"/>
    <w:rsid w:val="00A259A3"/>
    <w:rsid w:val="00A25A7C"/>
    <w:rsid w:val="00A26277"/>
    <w:rsid w:val="00A26A23"/>
    <w:rsid w:val="00A26EBE"/>
    <w:rsid w:val="00A27282"/>
    <w:rsid w:val="00A27678"/>
    <w:rsid w:val="00A27CEB"/>
    <w:rsid w:val="00A27D84"/>
    <w:rsid w:val="00A27F7B"/>
    <w:rsid w:val="00A300A3"/>
    <w:rsid w:val="00A3013A"/>
    <w:rsid w:val="00A303D3"/>
    <w:rsid w:val="00A30653"/>
    <w:rsid w:val="00A30E22"/>
    <w:rsid w:val="00A31099"/>
    <w:rsid w:val="00A315FA"/>
    <w:rsid w:val="00A31611"/>
    <w:rsid w:val="00A3198A"/>
    <w:rsid w:val="00A31ECF"/>
    <w:rsid w:val="00A322FD"/>
    <w:rsid w:val="00A326D3"/>
    <w:rsid w:val="00A329DD"/>
    <w:rsid w:val="00A329E2"/>
    <w:rsid w:val="00A3300B"/>
    <w:rsid w:val="00A33104"/>
    <w:rsid w:val="00A33376"/>
    <w:rsid w:val="00A33B8B"/>
    <w:rsid w:val="00A33C86"/>
    <w:rsid w:val="00A33E28"/>
    <w:rsid w:val="00A341D4"/>
    <w:rsid w:val="00A3473D"/>
    <w:rsid w:val="00A34938"/>
    <w:rsid w:val="00A34DFE"/>
    <w:rsid w:val="00A34E67"/>
    <w:rsid w:val="00A34EDA"/>
    <w:rsid w:val="00A355EC"/>
    <w:rsid w:val="00A35836"/>
    <w:rsid w:val="00A35C4B"/>
    <w:rsid w:val="00A35D15"/>
    <w:rsid w:val="00A35ED3"/>
    <w:rsid w:val="00A35FF4"/>
    <w:rsid w:val="00A362C9"/>
    <w:rsid w:val="00A3633F"/>
    <w:rsid w:val="00A36440"/>
    <w:rsid w:val="00A36912"/>
    <w:rsid w:val="00A36D2B"/>
    <w:rsid w:val="00A36D9F"/>
    <w:rsid w:val="00A374DF"/>
    <w:rsid w:val="00A37608"/>
    <w:rsid w:val="00A377F0"/>
    <w:rsid w:val="00A37AC5"/>
    <w:rsid w:val="00A40218"/>
    <w:rsid w:val="00A406EE"/>
    <w:rsid w:val="00A40791"/>
    <w:rsid w:val="00A40BA6"/>
    <w:rsid w:val="00A40F62"/>
    <w:rsid w:val="00A41342"/>
    <w:rsid w:val="00A4182A"/>
    <w:rsid w:val="00A41DE3"/>
    <w:rsid w:val="00A42801"/>
    <w:rsid w:val="00A428F5"/>
    <w:rsid w:val="00A42B92"/>
    <w:rsid w:val="00A42D49"/>
    <w:rsid w:val="00A4377A"/>
    <w:rsid w:val="00A4387E"/>
    <w:rsid w:val="00A43AF6"/>
    <w:rsid w:val="00A43B2A"/>
    <w:rsid w:val="00A43ECD"/>
    <w:rsid w:val="00A4435F"/>
    <w:rsid w:val="00A44CD5"/>
    <w:rsid w:val="00A44D74"/>
    <w:rsid w:val="00A454B8"/>
    <w:rsid w:val="00A458F5"/>
    <w:rsid w:val="00A45EE1"/>
    <w:rsid w:val="00A46125"/>
    <w:rsid w:val="00A4671E"/>
    <w:rsid w:val="00A46AE3"/>
    <w:rsid w:val="00A46F86"/>
    <w:rsid w:val="00A477AC"/>
    <w:rsid w:val="00A47A2E"/>
    <w:rsid w:val="00A47E93"/>
    <w:rsid w:val="00A50111"/>
    <w:rsid w:val="00A504EB"/>
    <w:rsid w:val="00A509E1"/>
    <w:rsid w:val="00A510BC"/>
    <w:rsid w:val="00A51235"/>
    <w:rsid w:val="00A51AF2"/>
    <w:rsid w:val="00A51BB0"/>
    <w:rsid w:val="00A51D04"/>
    <w:rsid w:val="00A52172"/>
    <w:rsid w:val="00A5267C"/>
    <w:rsid w:val="00A52734"/>
    <w:rsid w:val="00A527E0"/>
    <w:rsid w:val="00A52880"/>
    <w:rsid w:val="00A52956"/>
    <w:rsid w:val="00A5309B"/>
    <w:rsid w:val="00A536A6"/>
    <w:rsid w:val="00A537BF"/>
    <w:rsid w:val="00A537CA"/>
    <w:rsid w:val="00A53AAB"/>
    <w:rsid w:val="00A53E57"/>
    <w:rsid w:val="00A53FD3"/>
    <w:rsid w:val="00A54440"/>
    <w:rsid w:val="00A544A2"/>
    <w:rsid w:val="00A545CE"/>
    <w:rsid w:val="00A54DFF"/>
    <w:rsid w:val="00A55B39"/>
    <w:rsid w:val="00A56E8A"/>
    <w:rsid w:val="00A57345"/>
    <w:rsid w:val="00A577CA"/>
    <w:rsid w:val="00A57F15"/>
    <w:rsid w:val="00A6052D"/>
    <w:rsid w:val="00A60B07"/>
    <w:rsid w:val="00A60FFC"/>
    <w:rsid w:val="00A6113F"/>
    <w:rsid w:val="00A61350"/>
    <w:rsid w:val="00A61F50"/>
    <w:rsid w:val="00A62811"/>
    <w:rsid w:val="00A6293E"/>
    <w:rsid w:val="00A62AC4"/>
    <w:rsid w:val="00A62D4F"/>
    <w:rsid w:val="00A62F1D"/>
    <w:rsid w:val="00A62F9F"/>
    <w:rsid w:val="00A630F3"/>
    <w:rsid w:val="00A6360E"/>
    <w:rsid w:val="00A63692"/>
    <w:rsid w:val="00A63F63"/>
    <w:rsid w:val="00A64422"/>
    <w:rsid w:val="00A6478A"/>
    <w:rsid w:val="00A64890"/>
    <w:rsid w:val="00A6518A"/>
    <w:rsid w:val="00A651F6"/>
    <w:rsid w:val="00A653C0"/>
    <w:rsid w:val="00A653F3"/>
    <w:rsid w:val="00A65531"/>
    <w:rsid w:val="00A65E7F"/>
    <w:rsid w:val="00A66B6A"/>
    <w:rsid w:val="00A66BFC"/>
    <w:rsid w:val="00A66D1A"/>
    <w:rsid w:val="00A66ED1"/>
    <w:rsid w:val="00A67816"/>
    <w:rsid w:val="00A70814"/>
    <w:rsid w:val="00A70843"/>
    <w:rsid w:val="00A70AC1"/>
    <w:rsid w:val="00A70C33"/>
    <w:rsid w:val="00A7128E"/>
    <w:rsid w:val="00A7163A"/>
    <w:rsid w:val="00A71973"/>
    <w:rsid w:val="00A71D4F"/>
    <w:rsid w:val="00A7286E"/>
    <w:rsid w:val="00A72AAC"/>
    <w:rsid w:val="00A73076"/>
    <w:rsid w:val="00A73578"/>
    <w:rsid w:val="00A73621"/>
    <w:rsid w:val="00A73E05"/>
    <w:rsid w:val="00A74D4A"/>
    <w:rsid w:val="00A751B2"/>
    <w:rsid w:val="00A75235"/>
    <w:rsid w:val="00A753A9"/>
    <w:rsid w:val="00A75443"/>
    <w:rsid w:val="00A75905"/>
    <w:rsid w:val="00A75B4B"/>
    <w:rsid w:val="00A75CBB"/>
    <w:rsid w:val="00A75DE9"/>
    <w:rsid w:val="00A75FDE"/>
    <w:rsid w:val="00A76020"/>
    <w:rsid w:val="00A7640C"/>
    <w:rsid w:val="00A76530"/>
    <w:rsid w:val="00A76FC5"/>
    <w:rsid w:val="00A77077"/>
    <w:rsid w:val="00A77482"/>
    <w:rsid w:val="00A7790B"/>
    <w:rsid w:val="00A77A7C"/>
    <w:rsid w:val="00A80032"/>
    <w:rsid w:val="00A802BD"/>
    <w:rsid w:val="00A805CD"/>
    <w:rsid w:val="00A806A8"/>
    <w:rsid w:val="00A80D10"/>
    <w:rsid w:val="00A80E8E"/>
    <w:rsid w:val="00A80FA3"/>
    <w:rsid w:val="00A81564"/>
    <w:rsid w:val="00A81AF8"/>
    <w:rsid w:val="00A81DBF"/>
    <w:rsid w:val="00A81E9A"/>
    <w:rsid w:val="00A820BC"/>
    <w:rsid w:val="00A82258"/>
    <w:rsid w:val="00A82294"/>
    <w:rsid w:val="00A82331"/>
    <w:rsid w:val="00A824D5"/>
    <w:rsid w:val="00A8287E"/>
    <w:rsid w:val="00A82E73"/>
    <w:rsid w:val="00A83230"/>
    <w:rsid w:val="00A834F2"/>
    <w:rsid w:val="00A8362F"/>
    <w:rsid w:val="00A83662"/>
    <w:rsid w:val="00A83CDC"/>
    <w:rsid w:val="00A83F49"/>
    <w:rsid w:val="00A83F9A"/>
    <w:rsid w:val="00A84628"/>
    <w:rsid w:val="00A8470B"/>
    <w:rsid w:val="00A848FA"/>
    <w:rsid w:val="00A84A2A"/>
    <w:rsid w:val="00A84F30"/>
    <w:rsid w:val="00A850DA"/>
    <w:rsid w:val="00A85227"/>
    <w:rsid w:val="00A8536D"/>
    <w:rsid w:val="00A85713"/>
    <w:rsid w:val="00A857E8"/>
    <w:rsid w:val="00A85B6A"/>
    <w:rsid w:val="00A86169"/>
    <w:rsid w:val="00A86360"/>
    <w:rsid w:val="00A864FB"/>
    <w:rsid w:val="00A867EF"/>
    <w:rsid w:val="00A86A41"/>
    <w:rsid w:val="00A86BEC"/>
    <w:rsid w:val="00A87829"/>
    <w:rsid w:val="00A87E9E"/>
    <w:rsid w:val="00A87EB6"/>
    <w:rsid w:val="00A87EF1"/>
    <w:rsid w:val="00A9056C"/>
    <w:rsid w:val="00A916F9"/>
    <w:rsid w:val="00A9187A"/>
    <w:rsid w:val="00A9194D"/>
    <w:rsid w:val="00A919D5"/>
    <w:rsid w:val="00A91C5D"/>
    <w:rsid w:val="00A921EE"/>
    <w:rsid w:val="00A92B2C"/>
    <w:rsid w:val="00A92C7D"/>
    <w:rsid w:val="00A93692"/>
    <w:rsid w:val="00A93C9E"/>
    <w:rsid w:val="00A9413B"/>
    <w:rsid w:val="00A943E2"/>
    <w:rsid w:val="00A94567"/>
    <w:rsid w:val="00A95202"/>
    <w:rsid w:val="00A953E4"/>
    <w:rsid w:val="00A95428"/>
    <w:rsid w:val="00A954D5"/>
    <w:rsid w:val="00A956B6"/>
    <w:rsid w:val="00A960FE"/>
    <w:rsid w:val="00A96129"/>
    <w:rsid w:val="00A969B5"/>
    <w:rsid w:val="00A96C76"/>
    <w:rsid w:val="00A96E58"/>
    <w:rsid w:val="00A9738A"/>
    <w:rsid w:val="00A973E7"/>
    <w:rsid w:val="00A97505"/>
    <w:rsid w:val="00A97602"/>
    <w:rsid w:val="00A97874"/>
    <w:rsid w:val="00A97D9A"/>
    <w:rsid w:val="00AA00E9"/>
    <w:rsid w:val="00AA0539"/>
    <w:rsid w:val="00AA096E"/>
    <w:rsid w:val="00AA0BBE"/>
    <w:rsid w:val="00AA0E3E"/>
    <w:rsid w:val="00AA1156"/>
    <w:rsid w:val="00AA21AE"/>
    <w:rsid w:val="00AA21B7"/>
    <w:rsid w:val="00AA2418"/>
    <w:rsid w:val="00AA241B"/>
    <w:rsid w:val="00AA27F0"/>
    <w:rsid w:val="00AA2B27"/>
    <w:rsid w:val="00AA2CBD"/>
    <w:rsid w:val="00AA31CE"/>
    <w:rsid w:val="00AA3370"/>
    <w:rsid w:val="00AA34DD"/>
    <w:rsid w:val="00AA440A"/>
    <w:rsid w:val="00AA4524"/>
    <w:rsid w:val="00AA46A7"/>
    <w:rsid w:val="00AA47C3"/>
    <w:rsid w:val="00AA4860"/>
    <w:rsid w:val="00AA48B0"/>
    <w:rsid w:val="00AA4BEC"/>
    <w:rsid w:val="00AA4C57"/>
    <w:rsid w:val="00AA59D0"/>
    <w:rsid w:val="00AA5A83"/>
    <w:rsid w:val="00AA5BEF"/>
    <w:rsid w:val="00AA5E87"/>
    <w:rsid w:val="00AA5F22"/>
    <w:rsid w:val="00AA5FE9"/>
    <w:rsid w:val="00AA62F7"/>
    <w:rsid w:val="00AA6CAA"/>
    <w:rsid w:val="00AA6E6D"/>
    <w:rsid w:val="00AA70B5"/>
    <w:rsid w:val="00AA73BC"/>
    <w:rsid w:val="00AA7C22"/>
    <w:rsid w:val="00AA7C66"/>
    <w:rsid w:val="00AB0BC9"/>
    <w:rsid w:val="00AB103F"/>
    <w:rsid w:val="00AB142E"/>
    <w:rsid w:val="00AB1814"/>
    <w:rsid w:val="00AB1B61"/>
    <w:rsid w:val="00AB1B7F"/>
    <w:rsid w:val="00AB2A0C"/>
    <w:rsid w:val="00AB2B1B"/>
    <w:rsid w:val="00AB2E86"/>
    <w:rsid w:val="00AB32EA"/>
    <w:rsid w:val="00AB3CF6"/>
    <w:rsid w:val="00AB3DFF"/>
    <w:rsid w:val="00AB49B8"/>
    <w:rsid w:val="00AB4D70"/>
    <w:rsid w:val="00AB5107"/>
    <w:rsid w:val="00AB5DA7"/>
    <w:rsid w:val="00AB60E3"/>
    <w:rsid w:val="00AB628C"/>
    <w:rsid w:val="00AB635E"/>
    <w:rsid w:val="00AB63BF"/>
    <w:rsid w:val="00AB656D"/>
    <w:rsid w:val="00AB72CF"/>
    <w:rsid w:val="00AB784B"/>
    <w:rsid w:val="00AB795C"/>
    <w:rsid w:val="00AB7E01"/>
    <w:rsid w:val="00AC0091"/>
    <w:rsid w:val="00AC01D7"/>
    <w:rsid w:val="00AC040C"/>
    <w:rsid w:val="00AC0B93"/>
    <w:rsid w:val="00AC0C0A"/>
    <w:rsid w:val="00AC0F74"/>
    <w:rsid w:val="00AC1A27"/>
    <w:rsid w:val="00AC1DCA"/>
    <w:rsid w:val="00AC25A0"/>
    <w:rsid w:val="00AC273D"/>
    <w:rsid w:val="00AC287B"/>
    <w:rsid w:val="00AC2EF4"/>
    <w:rsid w:val="00AC2FBC"/>
    <w:rsid w:val="00AC330C"/>
    <w:rsid w:val="00AC3649"/>
    <w:rsid w:val="00AC36E2"/>
    <w:rsid w:val="00AC3954"/>
    <w:rsid w:val="00AC3DA8"/>
    <w:rsid w:val="00AC4105"/>
    <w:rsid w:val="00AC4296"/>
    <w:rsid w:val="00AC4378"/>
    <w:rsid w:val="00AC489E"/>
    <w:rsid w:val="00AC4E14"/>
    <w:rsid w:val="00AC4E98"/>
    <w:rsid w:val="00AC51D7"/>
    <w:rsid w:val="00AC52E4"/>
    <w:rsid w:val="00AC59DF"/>
    <w:rsid w:val="00AC5B29"/>
    <w:rsid w:val="00AC5B5C"/>
    <w:rsid w:val="00AC5E46"/>
    <w:rsid w:val="00AC5E9A"/>
    <w:rsid w:val="00AC62DF"/>
    <w:rsid w:val="00AC678C"/>
    <w:rsid w:val="00AC6E87"/>
    <w:rsid w:val="00AC7309"/>
    <w:rsid w:val="00AC7BAF"/>
    <w:rsid w:val="00AC7FBF"/>
    <w:rsid w:val="00AD0096"/>
    <w:rsid w:val="00AD033C"/>
    <w:rsid w:val="00AD0545"/>
    <w:rsid w:val="00AD0708"/>
    <w:rsid w:val="00AD089B"/>
    <w:rsid w:val="00AD0B7B"/>
    <w:rsid w:val="00AD0F90"/>
    <w:rsid w:val="00AD0FF0"/>
    <w:rsid w:val="00AD164D"/>
    <w:rsid w:val="00AD1823"/>
    <w:rsid w:val="00AD18E4"/>
    <w:rsid w:val="00AD1B2D"/>
    <w:rsid w:val="00AD26C7"/>
    <w:rsid w:val="00AD26D5"/>
    <w:rsid w:val="00AD2D88"/>
    <w:rsid w:val="00AD375A"/>
    <w:rsid w:val="00AD3888"/>
    <w:rsid w:val="00AD3CFC"/>
    <w:rsid w:val="00AD3F48"/>
    <w:rsid w:val="00AD420D"/>
    <w:rsid w:val="00AD473F"/>
    <w:rsid w:val="00AD47DE"/>
    <w:rsid w:val="00AD522B"/>
    <w:rsid w:val="00AD5C64"/>
    <w:rsid w:val="00AD5FBF"/>
    <w:rsid w:val="00AD6185"/>
    <w:rsid w:val="00AD63C2"/>
    <w:rsid w:val="00AD6472"/>
    <w:rsid w:val="00AD67F4"/>
    <w:rsid w:val="00AD71A6"/>
    <w:rsid w:val="00AD7510"/>
    <w:rsid w:val="00AD75DC"/>
    <w:rsid w:val="00AD7684"/>
    <w:rsid w:val="00AD77C4"/>
    <w:rsid w:val="00AD7871"/>
    <w:rsid w:val="00AD7AAD"/>
    <w:rsid w:val="00AE0712"/>
    <w:rsid w:val="00AE0971"/>
    <w:rsid w:val="00AE143B"/>
    <w:rsid w:val="00AE147F"/>
    <w:rsid w:val="00AE168F"/>
    <w:rsid w:val="00AE1B60"/>
    <w:rsid w:val="00AE1C62"/>
    <w:rsid w:val="00AE1F08"/>
    <w:rsid w:val="00AE1F10"/>
    <w:rsid w:val="00AE205F"/>
    <w:rsid w:val="00AE208E"/>
    <w:rsid w:val="00AE21F8"/>
    <w:rsid w:val="00AE2455"/>
    <w:rsid w:val="00AE2736"/>
    <w:rsid w:val="00AE27B7"/>
    <w:rsid w:val="00AE29A5"/>
    <w:rsid w:val="00AE30AC"/>
    <w:rsid w:val="00AE30E5"/>
    <w:rsid w:val="00AE316C"/>
    <w:rsid w:val="00AE39C9"/>
    <w:rsid w:val="00AE43FB"/>
    <w:rsid w:val="00AE461D"/>
    <w:rsid w:val="00AE4AD6"/>
    <w:rsid w:val="00AE5034"/>
    <w:rsid w:val="00AE5047"/>
    <w:rsid w:val="00AE507A"/>
    <w:rsid w:val="00AE5326"/>
    <w:rsid w:val="00AE554E"/>
    <w:rsid w:val="00AE56A5"/>
    <w:rsid w:val="00AE5852"/>
    <w:rsid w:val="00AE5A1E"/>
    <w:rsid w:val="00AE5B11"/>
    <w:rsid w:val="00AE5F0A"/>
    <w:rsid w:val="00AE618A"/>
    <w:rsid w:val="00AE640B"/>
    <w:rsid w:val="00AE651A"/>
    <w:rsid w:val="00AE6ADB"/>
    <w:rsid w:val="00AE7080"/>
    <w:rsid w:val="00AE75A2"/>
    <w:rsid w:val="00AE7666"/>
    <w:rsid w:val="00AE7B91"/>
    <w:rsid w:val="00AF015F"/>
    <w:rsid w:val="00AF02B7"/>
    <w:rsid w:val="00AF0356"/>
    <w:rsid w:val="00AF0E09"/>
    <w:rsid w:val="00AF13B9"/>
    <w:rsid w:val="00AF1843"/>
    <w:rsid w:val="00AF1A02"/>
    <w:rsid w:val="00AF1A45"/>
    <w:rsid w:val="00AF1BAA"/>
    <w:rsid w:val="00AF2682"/>
    <w:rsid w:val="00AF27A5"/>
    <w:rsid w:val="00AF280E"/>
    <w:rsid w:val="00AF2817"/>
    <w:rsid w:val="00AF2962"/>
    <w:rsid w:val="00AF3039"/>
    <w:rsid w:val="00AF3314"/>
    <w:rsid w:val="00AF338E"/>
    <w:rsid w:val="00AF3F8E"/>
    <w:rsid w:val="00AF4493"/>
    <w:rsid w:val="00AF4B85"/>
    <w:rsid w:val="00AF5082"/>
    <w:rsid w:val="00AF51BE"/>
    <w:rsid w:val="00AF5431"/>
    <w:rsid w:val="00AF61BC"/>
    <w:rsid w:val="00AF7015"/>
    <w:rsid w:val="00AF7220"/>
    <w:rsid w:val="00AF7338"/>
    <w:rsid w:val="00AF7365"/>
    <w:rsid w:val="00AF7C3D"/>
    <w:rsid w:val="00AF7CA0"/>
    <w:rsid w:val="00AF7D13"/>
    <w:rsid w:val="00B00139"/>
    <w:rsid w:val="00B00570"/>
    <w:rsid w:val="00B00D70"/>
    <w:rsid w:val="00B01B64"/>
    <w:rsid w:val="00B025D2"/>
    <w:rsid w:val="00B02EAC"/>
    <w:rsid w:val="00B0311E"/>
    <w:rsid w:val="00B031ED"/>
    <w:rsid w:val="00B03231"/>
    <w:rsid w:val="00B036CB"/>
    <w:rsid w:val="00B03708"/>
    <w:rsid w:val="00B04620"/>
    <w:rsid w:val="00B0499A"/>
    <w:rsid w:val="00B04F87"/>
    <w:rsid w:val="00B054CC"/>
    <w:rsid w:val="00B05643"/>
    <w:rsid w:val="00B05694"/>
    <w:rsid w:val="00B05697"/>
    <w:rsid w:val="00B05BE8"/>
    <w:rsid w:val="00B05E7F"/>
    <w:rsid w:val="00B05EA9"/>
    <w:rsid w:val="00B060A4"/>
    <w:rsid w:val="00B064F3"/>
    <w:rsid w:val="00B069A3"/>
    <w:rsid w:val="00B069E5"/>
    <w:rsid w:val="00B07512"/>
    <w:rsid w:val="00B077ED"/>
    <w:rsid w:val="00B0790E"/>
    <w:rsid w:val="00B07D0D"/>
    <w:rsid w:val="00B10FDE"/>
    <w:rsid w:val="00B112C9"/>
    <w:rsid w:val="00B1171F"/>
    <w:rsid w:val="00B11BA4"/>
    <w:rsid w:val="00B11C8C"/>
    <w:rsid w:val="00B12020"/>
    <w:rsid w:val="00B12105"/>
    <w:rsid w:val="00B12BB9"/>
    <w:rsid w:val="00B12E28"/>
    <w:rsid w:val="00B13A25"/>
    <w:rsid w:val="00B13D5F"/>
    <w:rsid w:val="00B13D7B"/>
    <w:rsid w:val="00B14B6D"/>
    <w:rsid w:val="00B14D3C"/>
    <w:rsid w:val="00B15861"/>
    <w:rsid w:val="00B15D44"/>
    <w:rsid w:val="00B15D9A"/>
    <w:rsid w:val="00B16073"/>
    <w:rsid w:val="00B161B2"/>
    <w:rsid w:val="00B16630"/>
    <w:rsid w:val="00B1778A"/>
    <w:rsid w:val="00B17D14"/>
    <w:rsid w:val="00B20216"/>
    <w:rsid w:val="00B204A8"/>
    <w:rsid w:val="00B20737"/>
    <w:rsid w:val="00B20836"/>
    <w:rsid w:val="00B2094D"/>
    <w:rsid w:val="00B2098B"/>
    <w:rsid w:val="00B209B6"/>
    <w:rsid w:val="00B2100A"/>
    <w:rsid w:val="00B212ED"/>
    <w:rsid w:val="00B212F4"/>
    <w:rsid w:val="00B21533"/>
    <w:rsid w:val="00B21571"/>
    <w:rsid w:val="00B21F50"/>
    <w:rsid w:val="00B221D1"/>
    <w:rsid w:val="00B2228B"/>
    <w:rsid w:val="00B22D1F"/>
    <w:rsid w:val="00B22F29"/>
    <w:rsid w:val="00B2346E"/>
    <w:rsid w:val="00B23488"/>
    <w:rsid w:val="00B234C5"/>
    <w:rsid w:val="00B23791"/>
    <w:rsid w:val="00B237FA"/>
    <w:rsid w:val="00B23981"/>
    <w:rsid w:val="00B23AC1"/>
    <w:rsid w:val="00B23BEA"/>
    <w:rsid w:val="00B23D65"/>
    <w:rsid w:val="00B23DB5"/>
    <w:rsid w:val="00B2474C"/>
    <w:rsid w:val="00B24B3C"/>
    <w:rsid w:val="00B24D66"/>
    <w:rsid w:val="00B24E28"/>
    <w:rsid w:val="00B25D39"/>
    <w:rsid w:val="00B2672F"/>
    <w:rsid w:val="00B267AE"/>
    <w:rsid w:val="00B26E91"/>
    <w:rsid w:val="00B26F00"/>
    <w:rsid w:val="00B27086"/>
    <w:rsid w:val="00B27BCF"/>
    <w:rsid w:val="00B27E4E"/>
    <w:rsid w:val="00B308B3"/>
    <w:rsid w:val="00B31707"/>
    <w:rsid w:val="00B317AD"/>
    <w:rsid w:val="00B31B4B"/>
    <w:rsid w:val="00B31FDA"/>
    <w:rsid w:val="00B32EA6"/>
    <w:rsid w:val="00B33172"/>
    <w:rsid w:val="00B33513"/>
    <w:rsid w:val="00B3368F"/>
    <w:rsid w:val="00B337B6"/>
    <w:rsid w:val="00B337EC"/>
    <w:rsid w:val="00B33928"/>
    <w:rsid w:val="00B340B2"/>
    <w:rsid w:val="00B343CC"/>
    <w:rsid w:val="00B34788"/>
    <w:rsid w:val="00B3522A"/>
    <w:rsid w:val="00B355D5"/>
    <w:rsid w:val="00B357F5"/>
    <w:rsid w:val="00B358E0"/>
    <w:rsid w:val="00B36E9D"/>
    <w:rsid w:val="00B37019"/>
    <w:rsid w:val="00B3704D"/>
    <w:rsid w:val="00B37340"/>
    <w:rsid w:val="00B37580"/>
    <w:rsid w:val="00B37777"/>
    <w:rsid w:val="00B377B8"/>
    <w:rsid w:val="00B37A25"/>
    <w:rsid w:val="00B37C8C"/>
    <w:rsid w:val="00B37EBB"/>
    <w:rsid w:val="00B400C5"/>
    <w:rsid w:val="00B40156"/>
    <w:rsid w:val="00B407C1"/>
    <w:rsid w:val="00B408A1"/>
    <w:rsid w:val="00B4090D"/>
    <w:rsid w:val="00B40B14"/>
    <w:rsid w:val="00B40C2A"/>
    <w:rsid w:val="00B40CBA"/>
    <w:rsid w:val="00B40EF0"/>
    <w:rsid w:val="00B41131"/>
    <w:rsid w:val="00B41526"/>
    <w:rsid w:val="00B4168F"/>
    <w:rsid w:val="00B4179B"/>
    <w:rsid w:val="00B41CF0"/>
    <w:rsid w:val="00B41D90"/>
    <w:rsid w:val="00B422FF"/>
    <w:rsid w:val="00B4233C"/>
    <w:rsid w:val="00B42510"/>
    <w:rsid w:val="00B42AED"/>
    <w:rsid w:val="00B42DFF"/>
    <w:rsid w:val="00B43079"/>
    <w:rsid w:val="00B431D1"/>
    <w:rsid w:val="00B43563"/>
    <w:rsid w:val="00B437E6"/>
    <w:rsid w:val="00B43836"/>
    <w:rsid w:val="00B43D0D"/>
    <w:rsid w:val="00B43D97"/>
    <w:rsid w:val="00B44223"/>
    <w:rsid w:val="00B445EC"/>
    <w:rsid w:val="00B446B9"/>
    <w:rsid w:val="00B44FB9"/>
    <w:rsid w:val="00B45180"/>
    <w:rsid w:val="00B4573F"/>
    <w:rsid w:val="00B45B9C"/>
    <w:rsid w:val="00B45C2C"/>
    <w:rsid w:val="00B46332"/>
    <w:rsid w:val="00B46352"/>
    <w:rsid w:val="00B46E74"/>
    <w:rsid w:val="00B4706E"/>
    <w:rsid w:val="00B477D1"/>
    <w:rsid w:val="00B47B24"/>
    <w:rsid w:val="00B47DE6"/>
    <w:rsid w:val="00B47E86"/>
    <w:rsid w:val="00B5040A"/>
    <w:rsid w:val="00B50669"/>
    <w:rsid w:val="00B50761"/>
    <w:rsid w:val="00B50C2F"/>
    <w:rsid w:val="00B50D66"/>
    <w:rsid w:val="00B50D83"/>
    <w:rsid w:val="00B50E0D"/>
    <w:rsid w:val="00B50F89"/>
    <w:rsid w:val="00B5121D"/>
    <w:rsid w:val="00B51C5C"/>
    <w:rsid w:val="00B51DDC"/>
    <w:rsid w:val="00B527B5"/>
    <w:rsid w:val="00B52825"/>
    <w:rsid w:val="00B52CC8"/>
    <w:rsid w:val="00B5313F"/>
    <w:rsid w:val="00B5449B"/>
    <w:rsid w:val="00B546D4"/>
    <w:rsid w:val="00B546EB"/>
    <w:rsid w:val="00B54CC1"/>
    <w:rsid w:val="00B553C9"/>
    <w:rsid w:val="00B56106"/>
    <w:rsid w:val="00B561F2"/>
    <w:rsid w:val="00B56282"/>
    <w:rsid w:val="00B564EE"/>
    <w:rsid w:val="00B56598"/>
    <w:rsid w:val="00B5664E"/>
    <w:rsid w:val="00B566B1"/>
    <w:rsid w:val="00B57074"/>
    <w:rsid w:val="00B5744E"/>
    <w:rsid w:val="00B57B5B"/>
    <w:rsid w:val="00B57B5F"/>
    <w:rsid w:val="00B57D61"/>
    <w:rsid w:val="00B57FC2"/>
    <w:rsid w:val="00B6028A"/>
    <w:rsid w:val="00B60BB4"/>
    <w:rsid w:val="00B612B7"/>
    <w:rsid w:val="00B612F8"/>
    <w:rsid w:val="00B616B0"/>
    <w:rsid w:val="00B61CC6"/>
    <w:rsid w:val="00B61D57"/>
    <w:rsid w:val="00B61E8F"/>
    <w:rsid w:val="00B6257F"/>
    <w:rsid w:val="00B62A1A"/>
    <w:rsid w:val="00B6310B"/>
    <w:rsid w:val="00B63208"/>
    <w:rsid w:val="00B633E9"/>
    <w:rsid w:val="00B63465"/>
    <w:rsid w:val="00B634B4"/>
    <w:rsid w:val="00B63AC8"/>
    <w:rsid w:val="00B63B0C"/>
    <w:rsid w:val="00B63C1F"/>
    <w:rsid w:val="00B63E33"/>
    <w:rsid w:val="00B64354"/>
    <w:rsid w:val="00B64608"/>
    <w:rsid w:val="00B6473C"/>
    <w:rsid w:val="00B6493E"/>
    <w:rsid w:val="00B64D3E"/>
    <w:rsid w:val="00B64E74"/>
    <w:rsid w:val="00B64ECA"/>
    <w:rsid w:val="00B656F8"/>
    <w:rsid w:val="00B65C66"/>
    <w:rsid w:val="00B66261"/>
    <w:rsid w:val="00B66B8D"/>
    <w:rsid w:val="00B678E7"/>
    <w:rsid w:val="00B679ED"/>
    <w:rsid w:val="00B67A10"/>
    <w:rsid w:val="00B67C23"/>
    <w:rsid w:val="00B70319"/>
    <w:rsid w:val="00B706A5"/>
    <w:rsid w:val="00B70937"/>
    <w:rsid w:val="00B71677"/>
    <w:rsid w:val="00B71808"/>
    <w:rsid w:val="00B71935"/>
    <w:rsid w:val="00B71EE9"/>
    <w:rsid w:val="00B71FA2"/>
    <w:rsid w:val="00B7206A"/>
    <w:rsid w:val="00B72095"/>
    <w:rsid w:val="00B726A5"/>
    <w:rsid w:val="00B72B3A"/>
    <w:rsid w:val="00B72B9B"/>
    <w:rsid w:val="00B730D6"/>
    <w:rsid w:val="00B730ED"/>
    <w:rsid w:val="00B7360C"/>
    <w:rsid w:val="00B7397A"/>
    <w:rsid w:val="00B739EB"/>
    <w:rsid w:val="00B73BCB"/>
    <w:rsid w:val="00B73D7F"/>
    <w:rsid w:val="00B7455A"/>
    <w:rsid w:val="00B74C2F"/>
    <w:rsid w:val="00B74D31"/>
    <w:rsid w:val="00B74FF3"/>
    <w:rsid w:val="00B7500C"/>
    <w:rsid w:val="00B75039"/>
    <w:rsid w:val="00B75069"/>
    <w:rsid w:val="00B75162"/>
    <w:rsid w:val="00B75E37"/>
    <w:rsid w:val="00B761DF"/>
    <w:rsid w:val="00B76377"/>
    <w:rsid w:val="00B7689A"/>
    <w:rsid w:val="00B76D69"/>
    <w:rsid w:val="00B76F46"/>
    <w:rsid w:val="00B77251"/>
    <w:rsid w:val="00B7763A"/>
    <w:rsid w:val="00B77A5F"/>
    <w:rsid w:val="00B80526"/>
    <w:rsid w:val="00B80859"/>
    <w:rsid w:val="00B80A86"/>
    <w:rsid w:val="00B80C4E"/>
    <w:rsid w:val="00B81725"/>
    <w:rsid w:val="00B81D0C"/>
    <w:rsid w:val="00B81F0D"/>
    <w:rsid w:val="00B8237D"/>
    <w:rsid w:val="00B82727"/>
    <w:rsid w:val="00B82728"/>
    <w:rsid w:val="00B82751"/>
    <w:rsid w:val="00B82830"/>
    <w:rsid w:val="00B82EFA"/>
    <w:rsid w:val="00B82F6E"/>
    <w:rsid w:val="00B83962"/>
    <w:rsid w:val="00B83D1C"/>
    <w:rsid w:val="00B846ED"/>
    <w:rsid w:val="00B84A3B"/>
    <w:rsid w:val="00B84BFD"/>
    <w:rsid w:val="00B85B20"/>
    <w:rsid w:val="00B85B22"/>
    <w:rsid w:val="00B85BB4"/>
    <w:rsid w:val="00B85F92"/>
    <w:rsid w:val="00B86343"/>
    <w:rsid w:val="00B86AA4"/>
    <w:rsid w:val="00B86F48"/>
    <w:rsid w:val="00B87CDB"/>
    <w:rsid w:val="00B90896"/>
    <w:rsid w:val="00B908A3"/>
    <w:rsid w:val="00B90C63"/>
    <w:rsid w:val="00B9137A"/>
    <w:rsid w:val="00B91854"/>
    <w:rsid w:val="00B91B46"/>
    <w:rsid w:val="00B91D11"/>
    <w:rsid w:val="00B92B1F"/>
    <w:rsid w:val="00B92D55"/>
    <w:rsid w:val="00B92EB7"/>
    <w:rsid w:val="00B93896"/>
    <w:rsid w:val="00B93B70"/>
    <w:rsid w:val="00B9427E"/>
    <w:rsid w:val="00B945C8"/>
    <w:rsid w:val="00B94858"/>
    <w:rsid w:val="00B948A3"/>
    <w:rsid w:val="00B95953"/>
    <w:rsid w:val="00B95E02"/>
    <w:rsid w:val="00B96152"/>
    <w:rsid w:val="00B962ED"/>
    <w:rsid w:val="00B966D3"/>
    <w:rsid w:val="00B96781"/>
    <w:rsid w:val="00B968DC"/>
    <w:rsid w:val="00B96A83"/>
    <w:rsid w:val="00B96D95"/>
    <w:rsid w:val="00B96F22"/>
    <w:rsid w:val="00B978CF"/>
    <w:rsid w:val="00B97A38"/>
    <w:rsid w:val="00BA01BC"/>
    <w:rsid w:val="00BA01ED"/>
    <w:rsid w:val="00BA0391"/>
    <w:rsid w:val="00BA06DC"/>
    <w:rsid w:val="00BA08E9"/>
    <w:rsid w:val="00BA0D7B"/>
    <w:rsid w:val="00BA11C5"/>
    <w:rsid w:val="00BA13DE"/>
    <w:rsid w:val="00BA1786"/>
    <w:rsid w:val="00BA17E1"/>
    <w:rsid w:val="00BA1A09"/>
    <w:rsid w:val="00BA1FF6"/>
    <w:rsid w:val="00BA260B"/>
    <w:rsid w:val="00BA2942"/>
    <w:rsid w:val="00BA2A74"/>
    <w:rsid w:val="00BA2B88"/>
    <w:rsid w:val="00BA30AE"/>
    <w:rsid w:val="00BA314D"/>
    <w:rsid w:val="00BA3278"/>
    <w:rsid w:val="00BA3317"/>
    <w:rsid w:val="00BA3406"/>
    <w:rsid w:val="00BA3607"/>
    <w:rsid w:val="00BA3708"/>
    <w:rsid w:val="00BA3764"/>
    <w:rsid w:val="00BA414F"/>
    <w:rsid w:val="00BA4263"/>
    <w:rsid w:val="00BA4339"/>
    <w:rsid w:val="00BA4A7A"/>
    <w:rsid w:val="00BA4EE8"/>
    <w:rsid w:val="00BA5628"/>
    <w:rsid w:val="00BA568A"/>
    <w:rsid w:val="00BA57DB"/>
    <w:rsid w:val="00BA5C1C"/>
    <w:rsid w:val="00BA6113"/>
    <w:rsid w:val="00BA635E"/>
    <w:rsid w:val="00BA6BD9"/>
    <w:rsid w:val="00BA6F11"/>
    <w:rsid w:val="00BA724E"/>
    <w:rsid w:val="00BA774D"/>
    <w:rsid w:val="00BA785C"/>
    <w:rsid w:val="00BA7D1A"/>
    <w:rsid w:val="00BA7E9C"/>
    <w:rsid w:val="00BB019A"/>
    <w:rsid w:val="00BB027E"/>
    <w:rsid w:val="00BB030E"/>
    <w:rsid w:val="00BB0C6F"/>
    <w:rsid w:val="00BB0EDA"/>
    <w:rsid w:val="00BB0FE8"/>
    <w:rsid w:val="00BB14D6"/>
    <w:rsid w:val="00BB2978"/>
    <w:rsid w:val="00BB29A5"/>
    <w:rsid w:val="00BB2A14"/>
    <w:rsid w:val="00BB2CEF"/>
    <w:rsid w:val="00BB317E"/>
    <w:rsid w:val="00BB31C1"/>
    <w:rsid w:val="00BB37CB"/>
    <w:rsid w:val="00BB3D12"/>
    <w:rsid w:val="00BB42BA"/>
    <w:rsid w:val="00BB499A"/>
    <w:rsid w:val="00BB4E19"/>
    <w:rsid w:val="00BB5098"/>
    <w:rsid w:val="00BB534E"/>
    <w:rsid w:val="00BB58ED"/>
    <w:rsid w:val="00BB5A7E"/>
    <w:rsid w:val="00BB5AE3"/>
    <w:rsid w:val="00BB5EB1"/>
    <w:rsid w:val="00BB6157"/>
    <w:rsid w:val="00BB61DF"/>
    <w:rsid w:val="00BB63DE"/>
    <w:rsid w:val="00BB651E"/>
    <w:rsid w:val="00BB66CC"/>
    <w:rsid w:val="00BB6953"/>
    <w:rsid w:val="00BB6CAC"/>
    <w:rsid w:val="00BB74A6"/>
    <w:rsid w:val="00BB7C85"/>
    <w:rsid w:val="00BC01B9"/>
    <w:rsid w:val="00BC0263"/>
    <w:rsid w:val="00BC058B"/>
    <w:rsid w:val="00BC07C7"/>
    <w:rsid w:val="00BC0B65"/>
    <w:rsid w:val="00BC0D65"/>
    <w:rsid w:val="00BC1217"/>
    <w:rsid w:val="00BC1337"/>
    <w:rsid w:val="00BC137C"/>
    <w:rsid w:val="00BC1634"/>
    <w:rsid w:val="00BC20B0"/>
    <w:rsid w:val="00BC22FB"/>
    <w:rsid w:val="00BC2B1A"/>
    <w:rsid w:val="00BC2F22"/>
    <w:rsid w:val="00BC2F33"/>
    <w:rsid w:val="00BC34CE"/>
    <w:rsid w:val="00BC3B50"/>
    <w:rsid w:val="00BC3DB0"/>
    <w:rsid w:val="00BC3EDB"/>
    <w:rsid w:val="00BC3EEA"/>
    <w:rsid w:val="00BC3EF4"/>
    <w:rsid w:val="00BC47C9"/>
    <w:rsid w:val="00BC54A8"/>
    <w:rsid w:val="00BC56B8"/>
    <w:rsid w:val="00BC5A9B"/>
    <w:rsid w:val="00BC5BB7"/>
    <w:rsid w:val="00BC5F6A"/>
    <w:rsid w:val="00BC60C5"/>
    <w:rsid w:val="00BC61F0"/>
    <w:rsid w:val="00BC674F"/>
    <w:rsid w:val="00BC6A89"/>
    <w:rsid w:val="00BC6AE9"/>
    <w:rsid w:val="00BC7623"/>
    <w:rsid w:val="00BC7F6F"/>
    <w:rsid w:val="00BC7FA6"/>
    <w:rsid w:val="00BD0201"/>
    <w:rsid w:val="00BD04A1"/>
    <w:rsid w:val="00BD08B8"/>
    <w:rsid w:val="00BD08EC"/>
    <w:rsid w:val="00BD0FD5"/>
    <w:rsid w:val="00BD1174"/>
    <w:rsid w:val="00BD1350"/>
    <w:rsid w:val="00BD1D77"/>
    <w:rsid w:val="00BD1EC7"/>
    <w:rsid w:val="00BD2692"/>
    <w:rsid w:val="00BD2DBB"/>
    <w:rsid w:val="00BD3138"/>
    <w:rsid w:val="00BD333A"/>
    <w:rsid w:val="00BD3485"/>
    <w:rsid w:val="00BD34F9"/>
    <w:rsid w:val="00BD38F2"/>
    <w:rsid w:val="00BD39F6"/>
    <w:rsid w:val="00BD4035"/>
    <w:rsid w:val="00BD403E"/>
    <w:rsid w:val="00BD4896"/>
    <w:rsid w:val="00BD51F7"/>
    <w:rsid w:val="00BD61C5"/>
    <w:rsid w:val="00BD62B6"/>
    <w:rsid w:val="00BD62F1"/>
    <w:rsid w:val="00BD6D05"/>
    <w:rsid w:val="00BD6F8D"/>
    <w:rsid w:val="00BD768A"/>
    <w:rsid w:val="00BD7797"/>
    <w:rsid w:val="00BD793A"/>
    <w:rsid w:val="00BD7B76"/>
    <w:rsid w:val="00BE0EED"/>
    <w:rsid w:val="00BE1817"/>
    <w:rsid w:val="00BE1965"/>
    <w:rsid w:val="00BE1C2E"/>
    <w:rsid w:val="00BE1EE8"/>
    <w:rsid w:val="00BE2914"/>
    <w:rsid w:val="00BE29CB"/>
    <w:rsid w:val="00BE2F07"/>
    <w:rsid w:val="00BE2FCF"/>
    <w:rsid w:val="00BE2FEF"/>
    <w:rsid w:val="00BE33D0"/>
    <w:rsid w:val="00BE3607"/>
    <w:rsid w:val="00BE3894"/>
    <w:rsid w:val="00BE38CA"/>
    <w:rsid w:val="00BE39C6"/>
    <w:rsid w:val="00BE3B0B"/>
    <w:rsid w:val="00BE428E"/>
    <w:rsid w:val="00BE4E7D"/>
    <w:rsid w:val="00BE50C5"/>
    <w:rsid w:val="00BE54EB"/>
    <w:rsid w:val="00BE553F"/>
    <w:rsid w:val="00BE555D"/>
    <w:rsid w:val="00BE6426"/>
    <w:rsid w:val="00BE64E7"/>
    <w:rsid w:val="00BE6695"/>
    <w:rsid w:val="00BE6936"/>
    <w:rsid w:val="00BE6A19"/>
    <w:rsid w:val="00BE707B"/>
    <w:rsid w:val="00BE7109"/>
    <w:rsid w:val="00BE7276"/>
    <w:rsid w:val="00BE72A1"/>
    <w:rsid w:val="00BE7AEF"/>
    <w:rsid w:val="00BE7F28"/>
    <w:rsid w:val="00BF00E1"/>
    <w:rsid w:val="00BF05A0"/>
    <w:rsid w:val="00BF05B3"/>
    <w:rsid w:val="00BF0695"/>
    <w:rsid w:val="00BF07D4"/>
    <w:rsid w:val="00BF0A5D"/>
    <w:rsid w:val="00BF0DDB"/>
    <w:rsid w:val="00BF0F3C"/>
    <w:rsid w:val="00BF12D9"/>
    <w:rsid w:val="00BF149E"/>
    <w:rsid w:val="00BF16FB"/>
    <w:rsid w:val="00BF1954"/>
    <w:rsid w:val="00BF197B"/>
    <w:rsid w:val="00BF1CCD"/>
    <w:rsid w:val="00BF21F7"/>
    <w:rsid w:val="00BF3185"/>
    <w:rsid w:val="00BF319D"/>
    <w:rsid w:val="00BF3C2F"/>
    <w:rsid w:val="00BF3DD0"/>
    <w:rsid w:val="00BF406E"/>
    <w:rsid w:val="00BF41A5"/>
    <w:rsid w:val="00BF43A1"/>
    <w:rsid w:val="00BF4D5C"/>
    <w:rsid w:val="00BF4ED4"/>
    <w:rsid w:val="00BF577D"/>
    <w:rsid w:val="00BF5F2E"/>
    <w:rsid w:val="00BF64F2"/>
    <w:rsid w:val="00BF7284"/>
    <w:rsid w:val="00BF7387"/>
    <w:rsid w:val="00BF7E65"/>
    <w:rsid w:val="00BF7EA2"/>
    <w:rsid w:val="00C00608"/>
    <w:rsid w:val="00C00BBA"/>
    <w:rsid w:val="00C00DED"/>
    <w:rsid w:val="00C00F51"/>
    <w:rsid w:val="00C00F71"/>
    <w:rsid w:val="00C01080"/>
    <w:rsid w:val="00C012A1"/>
    <w:rsid w:val="00C01571"/>
    <w:rsid w:val="00C01C68"/>
    <w:rsid w:val="00C024AC"/>
    <w:rsid w:val="00C0255C"/>
    <w:rsid w:val="00C027ED"/>
    <w:rsid w:val="00C02A3B"/>
    <w:rsid w:val="00C02ACB"/>
    <w:rsid w:val="00C02EFE"/>
    <w:rsid w:val="00C030E4"/>
    <w:rsid w:val="00C0385A"/>
    <w:rsid w:val="00C039EA"/>
    <w:rsid w:val="00C03A5B"/>
    <w:rsid w:val="00C0435C"/>
    <w:rsid w:val="00C04430"/>
    <w:rsid w:val="00C0445A"/>
    <w:rsid w:val="00C04778"/>
    <w:rsid w:val="00C048E7"/>
    <w:rsid w:val="00C049A3"/>
    <w:rsid w:val="00C04BB1"/>
    <w:rsid w:val="00C04C05"/>
    <w:rsid w:val="00C04CC5"/>
    <w:rsid w:val="00C0537F"/>
    <w:rsid w:val="00C05B3E"/>
    <w:rsid w:val="00C05D17"/>
    <w:rsid w:val="00C05E10"/>
    <w:rsid w:val="00C060D8"/>
    <w:rsid w:val="00C064D8"/>
    <w:rsid w:val="00C0717F"/>
    <w:rsid w:val="00C071F1"/>
    <w:rsid w:val="00C07265"/>
    <w:rsid w:val="00C07B3B"/>
    <w:rsid w:val="00C07C24"/>
    <w:rsid w:val="00C10020"/>
    <w:rsid w:val="00C10767"/>
    <w:rsid w:val="00C10852"/>
    <w:rsid w:val="00C10C63"/>
    <w:rsid w:val="00C10F47"/>
    <w:rsid w:val="00C10FE8"/>
    <w:rsid w:val="00C11052"/>
    <w:rsid w:val="00C11473"/>
    <w:rsid w:val="00C11615"/>
    <w:rsid w:val="00C1250A"/>
    <w:rsid w:val="00C12690"/>
    <w:rsid w:val="00C12FBA"/>
    <w:rsid w:val="00C1325C"/>
    <w:rsid w:val="00C1346F"/>
    <w:rsid w:val="00C14452"/>
    <w:rsid w:val="00C1494D"/>
    <w:rsid w:val="00C14E78"/>
    <w:rsid w:val="00C14F5E"/>
    <w:rsid w:val="00C152B4"/>
    <w:rsid w:val="00C15684"/>
    <w:rsid w:val="00C156FE"/>
    <w:rsid w:val="00C15A71"/>
    <w:rsid w:val="00C15BFA"/>
    <w:rsid w:val="00C16180"/>
    <w:rsid w:val="00C16431"/>
    <w:rsid w:val="00C16F0F"/>
    <w:rsid w:val="00C17121"/>
    <w:rsid w:val="00C179B2"/>
    <w:rsid w:val="00C2005F"/>
    <w:rsid w:val="00C2006C"/>
    <w:rsid w:val="00C20091"/>
    <w:rsid w:val="00C20311"/>
    <w:rsid w:val="00C20AC7"/>
    <w:rsid w:val="00C21A1A"/>
    <w:rsid w:val="00C21C4F"/>
    <w:rsid w:val="00C21DB7"/>
    <w:rsid w:val="00C223EE"/>
    <w:rsid w:val="00C226C8"/>
    <w:rsid w:val="00C228C1"/>
    <w:rsid w:val="00C22BB0"/>
    <w:rsid w:val="00C22D13"/>
    <w:rsid w:val="00C22D4F"/>
    <w:rsid w:val="00C23149"/>
    <w:rsid w:val="00C23A17"/>
    <w:rsid w:val="00C23BC3"/>
    <w:rsid w:val="00C23FD5"/>
    <w:rsid w:val="00C240D4"/>
    <w:rsid w:val="00C242DA"/>
    <w:rsid w:val="00C2432D"/>
    <w:rsid w:val="00C24862"/>
    <w:rsid w:val="00C253B8"/>
    <w:rsid w:val="00C25413"/>
    <w:rsid w:val="00C2555D"/>
    <w:rsid w:val="00C2565C"/>
    <w:rsid w:val="00C257E8"/>
    <w:rsid w:val="00C2588F"/>
    <w:rsid w:val="00C25AE8"/>
    <w:rsid w:val="00C25E1A"/>
    <w:rsid w:val="00C261AD"/>
    <w:rsid w:val="00C26E86"/>
    <w:rsid w:val="00C27347"/>
    <w:rsid w:val="00C2784F"/>
    <w:rsid w:val="00C27A09"/>
    <w:rsid w:val="00C27C04"/>
    <w:rsid w:val="00C3004B"/>
    <w:rsid w:val="00C30703"/>
    <w:rsid w:val="00C30E70"/>
    <w:rsid w:val="00C310EE"/>
    <w:rsid w:val="00C31D24"/>
    <w:rsid w:val="00C32257"/>
    <w:rsid w:val="00C32BE7"/>
    <w:rsid w:val="00C33162"/>
    <w:rsid w:val="00C332BA"/>
    <w:rsid w:val="00C338B0"/>
    <w:rsid w:val="00C33AAB"/>
    <w:rsid w:val="00C33BB7"/>
    <w:rsid w:val="00C33CDF"/>
    <w:rsid w:val="00C34711"/>
    <w:rsid w:val="00C347AD"/>
    <w:rsid w:val="00C34A97"/>
    <w:rsid w:val="00C3548D"/>
    <w:rsid w:val="00C36013"/>
    <w:rsid w:val="00C36946"/>
    <w:rsid w:val="00C36F75"/>
    <w:rsid w:val="00C37001"/>
    <w:rsid w:val="00C37C0B"/>
    <w:rsid w:val="00C37F39"/>
    <w:rsid w:val="00C4017A"/>
    <w:rsid w:val="00C4020E"/>
    <w:rsid w:val="00C40253"/>
    <w:rsid w:val="00C40970"/>
    <w:rsid w:val="00C40BC6"/>
    <w:rsid w:val="00C41E91"/>
    <w:rsid w:val="00C41ED7"/>
    <w:rsid w:val="00C41F00"/>
    <w:rsid w:val="00C42210"/>
    <w:rsid w:val="00C42652"/>
    <w:rsid w:val="00C42B38"/>
    <w:rsid w:val="00C42B52"/>
    <w:rsid w:val="00C42C80"/>
    <w:rsid w:val="00C42CB3"/>
    <w:rsid w:val="00C435DD"/>
    <w:rsid w:val="00C436D7"/>
    <w:rsid w:val="00C44341"/>
    <w:rsid w:val="00C4442D"/>
    <w:rsid w:val="00C44928"/>
    <w:rsid w:val="00C44962"/>
    <w:rsid w:val="00C44F59"/>
    <w:rsid w:val="00C45166"/>
    <w:rsid w:val="00C454C6"/>
    <w:rsid w:val="00C459BB"/>
    <w:rsid w:val="00C45A2D"/>
    <w:rsid w:val="00C45C71"/>
    <w:rsid w:val="00C4670E"/>
    <w:rsid w:val="00C474B2"/>
    <w:rsid w:val="00C474F7"/>
    <w:rsid w:val="00C4763A"/>
    <w:rsid w:val="00C47D22"/>
    <w:rsid w:val="00C47EC6"/>
    <w:rsid w:val="00C5033E"/>
    <w:rsid w:val="00C50603"/>
    <w:rsid w:val="00C50C6B"/>
    <w:rsid w:val="00C529DF"/>
    <w:rsid w:val="00C52B84"/>
    <w:rsid w:val="00C52C83"/>
    <w:rsid w:val="00C52F20"/>
    <w:rsid w:val="00C5317A"/>
    <w:rsid w:val="00C53190"/>
    <w:rsid w:val="00C53316"/>
    <w:rsid w:val="00C537AF"/>
    <w:rsid w:val="00C53844"/>
    <w:rsid w:val="00C53F05"/>
    <w:rsid w:val="00C53F12"/>
    <w:rsid w:val="00C53F16"/>
    <w:rsid w:val="00C54554"/>
    <w:rsid w:val="00C548E6"/>
    <w:rsid w:val="00C54C0E"/>
    <w:rsid w:val="00C54C50"/>
    <w:rsid w:val="00C54D40"/>
    <w:rsid w:val="00C54EAD"/>
    <w:rsid w:val="00C559E0"/>
    <w:rsid w:val="00C55B6F"/>
    <w:rsid w:val="00C55D81"/>
    <w:rsid w:val="00C55D82"/>
    <w:rsid w:val="00C560F1"/>
    <w:rsid w:val="00C56119"/>
    <w:rsid w:val="00C5639A"/>
    <w:rsid w:val="00C56413"/>
    <w:rsid w:val="00C565F7"/>
    <w:rsid w:val="00C566B1"/>
    <w:rsid w:val="00C567B9"/>
    <w:rsid w:val="00C57496"/>
    <w:rsid w:val="00C574F3"/>
    <w:rsid w:val="00C576C2"/>
    <w:rsid w:val="00C57DDC"/>
    <w:rsid w:val="00C602CB"/>
    <w:rsid w:val="00C60452"/>
    <w:rsid w:val="00C608F5"/>
    <w:rsid w:val="00C60948"/>
    <w:rsid w:val="00C60AF0"/>
    <w:rsid w:val="00C60D98"/>
    <w:rsid w:val="00C61518"/>
    <w:rsid w:val="00C615F6"/>
    <w:rsid w:val="00C618FA"/>
    <w:rsid w:val="00C61AB8"/>
    <w:rsid w:val="00C61B9E"/>
    <w:rsid w:val="00C629FF"/>
    <w:rsid w:val="00C62CB6"/>
    <w:rsid w:val="00C62D83"/>
    <w:rsid w:val="00C62F52"/>
    <w:rsid w:val="00C637C4"/>
    <w:rsid w:val="00C63CA2"/>
    <w:rsid w:val="00C63D5D"/>
    <w:rsid w:val="00C63E3F"/>
    <w:rsid w:val="00C63F64"/>
    <w:rsid w:val="00C64783"/>
    <w:rsid w:val="00C651B2"/>
    <w:rsid w:val="00C658BF"/>
    <w:rsid w:val="00C658F0"/>
    <w:rsid w:val="00C65C58"/>
    <w:rsid w:val="00C65CB0"/>
    <w:rsid w:val="00C65CBD"/>
    <w:rsid w:val="00C66123"/>
    <w:rsid w:val="00C6635D"/>
    <w:rsid w:val="00C66CE3"/>
    <w:rsid w:val="00C67093"/>
    <w:rsid w:val="00C67371"/>
    <w:rsid w:val="00C67762"/>
    <w:rsid w:val="00C67D4A"/>
    <w:rsid w:val="00C7007B"/>
    <w:rsid w:val="00C700CC"/>
    <w:rsid w:val="00C7035A"/>
    <w:rsid w:val="00C7053B"/>
    <w:rsid w:val="00C707D8"/>
    <w:rsid w:val="00C70E79"/>
    <w:rsid w:val="00C716EE"/>
    <w:rsid w:val="00C71990"/>
    <w:rsid w:val="00C71A70"/>
    <w:rsid w:val="00C71C4B"/>
    <w:rsid w:val="00C7226A"/>
    <w:rsid w:val="00C724CC"/>
    <w:rsid w:val="00C72BC4"/>
    <w:rsid w:val="00C72F26"/>
    <w:rsid w:val="00C72FD0"/>
    <w:rsid w:val="00C73137"/>
    <w:rsid w:val="00C732B5"/>
    <w:rsid w:val="00C735A1"/>
    <w:rsid w:val="00C738E6"/>
    <w:rsid w:val="00C739F9"/>
    <w:rsid w:val="00C73CDE"/>
    <w:rsid w:val="00C73DE1"/>
    <w:rsid w:val="00C74055"/>
    <w:rsid w:val="00C7426A"/>
    <w:rsid w:val="00C7448A"/>
    <w:rsid w:val="00C74D05"/>
    <w:rsid w:val="00C75378"/>
    <w:rsid w:val="00C754F8"/>
    <w:rsid w:val="00C758B3"/>
    <w:rsid w:val="00C75A26"/>
    <w:rsid w:val="00C75A73"/>
    <w:rsid w:val="00C76375"/>
    <w:rsid w:val="00C7646C"/>
    <w:rsid w:val="00C7680C"/>
    <w:rsid w:val="00C768EB"/>
    <w:rsid w:val="00C76C66"/>
    <w:rsid w:val="00C76E9E"/>
    <w:rsid w:val="00C76EE5"/>
    <w:rsid w:val="00C774B0"/>
    <w:rsid w:val="00C77625"/>
    <w:rsid w:val="00C779C1"/>
    <w:rsid w:val="00C77BE4"/>
    <w:rsid w:val="00C801FF"/>
    <w:rsid w:val="00C80684"/>
    <w:rsid w:val="00C80BA1"/>
    <w:rsid w:val="00C80E95"/>
    <w:rsid w:val="00C81902"/>
    <w:rsid w:val="00C81C3A"/>
    <w:rsid w:val="00C82715"/>
    <w:rsid w:val="00C8280C"/>
    <w:rsid w:val="00C82FCE"/>
    <w:rsid w:val="00C83846"/>
    <w:rsid w:val="00C8386B"/>
    <w:rsid w:val="00C84516"/>
    <w:rsid w:val="00C84534"/>
    <w:rsid w:val="00C8473E"/>
    <w:rsid w:val="00C84A5C"/>
    <w:rsid w:val="00C84CCC"/>
    <w:rsid w:val="00C85221"/>
    <w:rsid w:val="00C85300"/>
    <w:rsid w:val="00C85B92"/>
    <w:rsid w:val="00C86B43"/>
    <w:rsid w:val="00C8708E"/>
    <w:rsid w:val="00C877C5"/>
    <w:rsid w:val="00C8787F"/>
    <w:rsid w:val="00C87C3B"/>
    <w:rsid w:val="00C87FA6"/>
    <w:rsid w:val="00C90009"/>
    <w:rsid w:val="00C90933"/>
    <w:rsid w:val="00C91667"/>
    <w:rsid w:val="00C9209F"/>
    <w:rsid w:val="00C923B6"/>
    <w:rsid w:val="00C923C2"/>
    <w:rsid w:val="00C92AD2"/>
    <w:rsid w:val="00C92E00"/>
    <w:rsid w:val="00C93323"/>
    <w:rsid w:val="00C93388"/>
    <w:rsid w:val="00C93B7B"/>
    <w:rsid w:val="00C93C24"/>
    <w:rsid w:val="00C940C3"/>
    <w:rsid w:val="00C94558"/>
    <w:rsid w:val="00C9466B"/>
    <w:rsid w:val="00C94707"/>
    <w:rsid w:val="00C94848"/>
    <w:rsid w:val="00C94A60"/>
    <w:rsid w:val="00C94DE3"/>
    <w:rsid w:val="00C95259"/>
    <w:rsid w:val="00C953FB"/>
    <w:rsid w:val="00C95428"/>
    <w:rsid w:val="00C95490"/>
    <w:rsid w:val="00C958C7"/>
    <w:rsid w:val="00C95947"/>
    <w:rsid w:val="00C95E4B"/>
    <w:rsid w:val="00C9620E"/>
    <w:rsid w:val="00C9667A"/>
    <w:rsid w:val="00C96DB4"/>
    <w:rsid w:val="00C96E2C"/>
    <w:rsid w:val="00C97143"/>
    <w:rsid w:val="00C97261"/>
    <w:rsid w:val="00C97A8E"/>
    <w:rsid w:val="00C97AD8"/>
    <w:rsid w:val="00C97F96"/>
    <w:rsid w:val="00CA014B"/>
    <w:rsid w:val="00CA0989"/>
    <w:rsid w:val="00CA0E6D"/>
    <w:rsid w:val="00CA159F"/>
    <w:rsid w:val="00CA1872"/>
    <w:rsid w:val="00CA2022"/>
    <w:rsid w:val="00CA2033"/>
    <w:rsid w:val="00CA2518"/>
    <w:rsid w:val="00CA295F"/>
    <w:rsid w:val="00CA2AA0"/>
    <w:rsid w:val="00CA2DEC"/>
    <w:rsid w:val="00CA315C"/>
    <w:rsid w:val="00CA3831"/>
    <w:rsid w:val="00CA38AE"/>
    <w:rsid w:val="00CA3C5D"/>
    <w:rsid w:val="00CA43CD"/>
    <w:rsid w:val="00CA46D4"/>
    <w:rsid w:val="00CA4C4F"/>
    <w:rsid w:val="00CA4C70"/>
    <w:rsid w:val="00CA518A"/>
    <w:rsid w:val="00CA51EB"/>
    <w:rsid w:val="00CA53AF"/>
    <w:rsid w:val="00CA548B"/>
    <w:rsid w:val="00CA56DC"/>
    <w:rsid w:val="00CA5C23"/>
    <w:rsid w:val="00CA5D88"/>
    <w:rsid w:val="00CA5EBB"/>
    <w:rsid w:val="00CA6335"/>
    <w:rsid w:val="00CA67CE"/>
    <w:rsid w:val="00CA71B2"/>
    <w:rsid w:val="00CA75C6"/>
    <w:rsid w:val="00CA7D3D"/>
    <w:rsid w:val="00CA7DE1"/>
    <w:rsid w:val="00CB00F4"/>
    <w:rsid w:val="00CB0268"/>
    <w:rsid w:val="00CB032D"/>
    <w:rsid w:val="00CB08BB"/>
    <w:rsid w:val="00CB0A99"/>
    <w:rsid w:val="00CB1D9C"/>
    <w:rsid w:val="00CB2394"/>
    <w:rsid w:val="00CB242C"/>
    <w:rsid w:val="00CB2546"/>
    <w:rsid w:val="00CB2B13"/>
    <w:rsid w:val="00CB2C04"/>
    <w:rsid w:val="00CB2DF8"/>
    <w:rsid w:val="00CB376A"/>
    <w:rsid w:val="00CB380D"/>
    <w:rsid w:val="00CB3E2D"/>
    <w:rsid w:val="00CB482F"/>
    <w:rsid w:val="00CB4A4F"/>
    <w:rsid w:val="00CB4E13"/>
    <w:rsid w:val="00CB4E7C"/>
    <w:rsid w:val="00CB519E"/>
    <w:rsid w:val="00CB57A5"/>
    <w:rsid w:val="00CB5BDA"/>
    <w:rsid w:val="00CB5E2A"/>
    <w:rsid w:val="00CB6042"/>
    <w:rsid w:val="00CB63B4"/>
    <w:rsid w:val="00CB6716"/>
    <w:rsid w:val="00CB68B3"/>
    <w:rsid w:val="00CB6BD3"/>
    <w:rsid w:val="00CB6C51"/>
    <w:rsid w:val="00CB6CA3"/>
    <w:rsid w:val="00CB7011"/>
    <w:rsid w:val="00CB70D8"/>
    <w:rsid w:val="00CC0AC4"/>
    <w:rsid w:val="00CC0CE8"/>
    <w:rsid w:val="00CC0DD5"/>
    <w:rsid w:val="00CC0FEA"/>
    <w:rsid w:val="00CC1B46"/>
    <w:rsid w:val="00CC1E56"/>
    <w:rsid w:val="00CC2214"/>
    <w:rsid w:val="00CC231E"/>
    <w:rsid w:val="00CC23D4"/>
    <w:rsid w:val="00CC2A5F"/>
    <w:rsid w:val="00CC2AF9"/>
    <w:rsid w:val="00CC3236"/>
    <w:rsid w:val="00CC32CB"/>
    <w:rsid w:val="00CC32DF"/>
    <w:rsid w:val="00CC35AA"/>
    <w:rsid w:val="00CC3857"/>
    <w:rsid w:val="00CC396D"/>
    <w:rsid w:val="00CC3B67"/>
    <w:rsid w:val="00CC3FAD"/>
    <w:rsid w:val="00CC40B3"/>
    <w:rsid w:val="00CC4175"/>
    <w:rsid w:val="00CC41B2"/>
    <w:rsid w:val="00CC4948"/>
    <w:rsid w:val="00CC4AB0"/>
    <w:rsid w:val="00CC4C11"/>
    <w:rsid w:val="00CC4DD7"/>
    <w:rsid w:val="00CC4EC7"/>
    <w:rsid w:val="00CC4FC6"/>
    <w:rsid w:val="00CC52AE"/>
    <w:rsid w:val="00CC52D9"/>
    <w:rsid w:val="00CC53F3"/>
    <w:rsid w:val="00CC544C"/>
    <w:rsid w:val="00CC5554"/>
    <w:rsid w:val="00CC5590"/>
    <w:rsid w:val="00CC5A11"/>
    <w:rsid w:val="00CC5D55"/>
    <w:rsid w:val="00CC6739"/>
    <w:rsid w:val="00CC7763"/>
    <w:rsid w:val="00CC797F"/>
    <w:rsid w:val="00CC7A60"/>
    <w:rsid w:val="00CD02F5"/>
    <w:rsid w:val="00CD06AC"/>
    <w:rsid w:val="00CD0FBA"/>
    <w:rsid w:val="00CD1001"/>
    <w:rsid w:val="00CD107D"/>
    <w:rsid w:val="00CD120C"/>
    <w:rsid w:val="00CD120F"/>
    <w:rsid w:val="00CD2C71"/>
    <w:rsid w:val="00CD3061"/>
    <w:rsid w:val="00CD353D"/>
    <w:rsid w:val="00CD3E5B"/>
    <w:rsid w:val="00CD4353"/>
    <w:rsid w:val="00CD483B"/>
    <w:rsid w:val="00CD4AF3"/>
    <w:rsid w:val="00CD4ECE"/>
    <w:rsid w:val="00CD4FEA"/>
    <w:rsid w:val="00CD5077"/>
    <w:rsid w:val="00CD5141"/>
    <w:rsid w:val="00CD5447"/>
    <w:rsid w:val="00CD5B1F"/>
    <w:rsid w:val="00CD67A7"/>
    <w:rsid w:val="00CD68A6"/>
    <w:rsid w:val="00CD6BE9"/>
    <w:rsid w:val="00CD6F46"/>
    <w:rsid w:val="00CD7629"/>
    <w:rsid w:val="00CD7D01"/>
    <w:rsid w:val="00CD7D29"/>
    <w:rsid w:val="00CE01BF"/>
    <w:rsid w:val="00CE0256"/>
    <w:rsid w:val="00CE0867"/>
    <w:rsid w:val="00CE09F4"/>
    <w:rsid w:val="00CE0A0F"/>
    <w:rsid w:val="00CE0D40"/>
    <w:rsid w:val="00CE0F2F"/>
    <w:rsid w:val="00CE0F7A"/>
    <w:rsid w:val="00CE1016"/>
    <w:rsid w:val="00CE1164"/>
    <w:rsid w:val="00CE1202"/>
    <w:rsid w:val="00CE1A48"/>
    <w:rsid w:val="00CE2BBA"/>
    <w:rsid w:val="00CE2D58"/>
    <w:rsid w:val="00CE35A0"/>
    <w:rsid w:val="00CE374C"/>
    <w:rsid w:val="00CE375B"/>
    <w:rsid w:val="00CE4440"/>
    <w:rsid w:val="00CE4812"/>
    <w:rsid w:val="00CE4AD8"/>
    <w:rsid w:val="00CE532A"/>
    <w:rsid w:val="00CE544B"/>
    <w:rsid w:val="00CE56CA"/>
    <w:rsid w:val="00CE57D0"/>
    <w:rsid w:val="00CE5AC7"/>
    <w:rsid w:val="00CE6A07"/>
    <w:rsid w:val="00CE6A1B"/>
    <w:rsid w:val="00CE6D52"/>
    <w:rsid w:val="00CE726A"/>
    <w:rsid w:val="00CE780A"/>
    <w:rsid w:val="00CE7ED5"/>
    <w:rsid w:val="00CF01D7"/>
    <w:rsid w:val="00CF0744"/>
    <w:rsid w:val="00CF07BC"/>
    <w:rsid w:val="00CF0900"/>
    <w:rsid w:val="00CF10A8"/>
    <w:rsid w:val="00CF12ED"/>
    <w:rsid w:val="00CF1904"/>
    <w:rsid w:val="00CF1AED"/>
    <w:rsid w:val="00CF1D45"/>
    <w:rsid w:val="00CF1F12"/>
    <w:rsid w:val="00CF22F6"/>
    <w:rsid w:val="00CF2358"/>
    <w:rsid w:val="00CF23D1"/>
    <w:rsid w:val="00CF2551"/>
    <w:rsid w:val="00CF272E"/>
    <w:rsid w:val="00CF3262"/>
    <w:rsid w:val="00CF32FD"/>
    <w:rsid w:val="00CF3559"/>
    <w:rsid w:val="00CF3B71"/>
    <w:rsid w:val="00CF4058"/>
    <w:rsid w:val="00CF40D7"/>
    <w:rsid w:val="00CF4128"/>
    <w:rsid w:val="00CF441F"/>
    <w:rsid w:val="00CF4E97"/>
    <w:rsid w:val="00CF4EA2"/>
    <w:rsid w:val="00CF4FFD"/>
    <w:rsid w:val="00CF5016"/>
    <w:rsid w:val="00CF542A"/>
    <w:rsid w:val="00CF55CD"/>
    <w:rsid w:val="00CF56B2"/>
    <w:rsid w:val="00CF5912"/>
    <w:rsid w:val="00CF63BD"/>
    <w:rsid w:val="00CF6A50"/>
    <w:rsid w:val="00CF7070"/>
    <w:rsid w:val="00CF79A1"/>
    <w:rsid w:val="00CF7D2A"/>
    <w:rsid w:val="00D0025E"/>
    <w:rsid w:val="00D0030B"/>
    <w:rsid w:val="00D00711"/>
    <w:rsid w:val="00D008DB"/>
    <w:rsid w:val="00D00A00"/>
    <w:rsid w:val="00D00BFB"/>
    <w:rsid w:val="00D00D45"/>
    <w:rsid w:val="00D00E00"/>
    <w:rsid w:val="00D00E37"/>
    <w:rsid w:val="00D00E9F"/>
    <w:rsid w:val="00D0124B"/>
    <w:rsid w:val="00D01CEF"/>
    <w:rsid w:val="00D01D46"/>
    <w:rsid w:val="00D025D5"/>
    <w:rsid w:val="00D026BB"/>
    <w:rsid w:val="00D03486"/>
    <w:rsid w:val="00D034A2"/>
    <w:rsid w:val="00D039BB"/>
    <w:rsid w:val="00D046DC"/>
    <w:rsid w:val="00D04861"/>
    <w:rsid w:val="00D04956"/>
    <w:rsid w:val="00D04D02"/>
    <w:rsid w:val="00D04D19"/>
    <w:rsid w:val="00D054D2"/>
    <w:rsid w:val="00D05D2A"/>
    <w:rsid w:val="00D061D8"/>
    <w:rsid w:val="00D062DF"/>
    <w:rsid w:val="00D069DE"/>
    <w:rsid w:val="00D06D28"/>
    <w:rsid w:val="00D06DE9"/>
    <w:rsid w:val="00D07040"/>
    <w:rsid w:val="00D072E8"/>
    <w:rsid w:val="00D07302"/>
    <w:rsid w:val="00D07373"/>
    <w:rsid w:val="00D07C00"/>
    <w:rsid w:val="00D07FAA"/>
    <w:rsid w:val="00D10789"/>
    <w:rsid w:val="00D108AB"/>
    <w:rsid w:val="00D1090F"/>
    <w:rsid w:val="00D10D58"/>
    <w:rsid w:val="00D10ECD"/>
    <w:rsid w:val="00D11050"/>
    <w:rsid w:val="00D113FE"/>
    <w:rsid w:val="00D114FA"/>
    <w:rsid w:val="00D1150B"/>
    <w:rsid w:val="00D11D5A"/>
    <w:rsid w:val="00D11DE1"/>
    <w:rsid w:val="00D1259B"/>
    <w:rsid w:val="00D13023"/>
    <w:rsid w:val="00D1305A"/>
    <w:rsid w:val="00D130A6"/>
    <w:rsid w:val="00D133DB"/>
    <w:rsid w:val="00D1357B"/>
    <w:rsid w:val="00D13609"/>
    <w:rsid w:val="00D13AC6"/>
    <w:rsid w:val="00D13DBB"/>
    <w:rsid w:val="00D13E23"/>
    <w:rsid w:val="00D1435F"/>
    <w:rsid w:val="00D144F0"/>
    <w:rsid w:val="00D147FA"/>
    <w:rsid w:val="00D14A18"/>
    <w:rsid w:val="00D15298"/>
    <w:rsid w:val="00D153CF"/>
    <w:rsid w:val="00D15455"/>
    <w:rsid w:val="00D157DB"/>
    <w:rsid w:val="00D15A48"/>
    <w:rsid w:val="00D15C08"/>
    <w:rsid w:val="00D160D9"/>
    <w:rsid w:val="00D162C5"/>
    <w:rsid w:val="00D163C7"/>
    <w:rsid w:val="00D16623"/>
    <w:rsid w:val="00D1669F"/>
    <w:rsid w:val="00D167B5"/>
    <w:rsid w:val="00D16C5E"/>
    <w:rsid w:val="00D17375"/>
    <w:rsid w:val="00D17903"/>
    <w:rsid w:val="00D17A3A"/>
    <w:rsid w:val="00D17F3F"/>
    <w:rsid w:val="00D2025D"/>
    <w:rsid w:val="00D206F4"/>
    <w:rsid w:val="00D20A35"/>
    <w:rsid w:val="00D20DA1"/>
    <w:rsid w:val="00D21015"/>
    <w:rsid w:val="00D210A0"/>
    <w:rsid w:val="00D2133E"/>
    <w:rsid w:val="00D21440"/>
    <w:rsid w:val="00D2144C"/>
    <w:rsid w:val="00D21BD1"/>
    <w:rsid w:val="00D22059"/>
    <w:rsid w:val="00D22127"/>
    <w:rsid w:val="00D23461"/>
    <w:rsid w:val="00D235CD"/>
    <w:rsid w:val="00D238FC"/>
    <w:rsid w:val="00D24429"/>
    <w:rsid w:val="00D245CD"/>
    <w:rsid w:val="00D24C54"/>
    <w:rsid w:val="00D252E2"/>
    <w:rsid w:val="00D2553F"/>
    <w:rsid w:val="00D25AC4"/>
    <w:rsid w:val="00D25C11"/>
    <w:rsid w:val="00D25FFF"/>
    <w:rsid w:val="00D261F1"/>
    <w:rsid w:val="00D2650E"/>
    <w:rsid w:val="00D26792"/>
    <w:rsid w:val="00D27415"/>
    <w:rsid w:val="00D27665"/>
    <w:rsid w:val="00D27A61"/>
    <w:rsid w:val="00D27BD7"/>
    <w:rsid w:val="00D27EAE"/>
    <w:rsid w:val="00D300EE"/>
    <w:rsid w:val="00D302C3"/>
    <w:rsid w:val="00D3031A"/>
    <w:rsid w:val="00D303AB"/>
    <w:rsid w:val="00D30702"/>
    <w:rsid w:val="00D30721"/>
    <w:rsid w:val="00D30B7F"/>
    <w:rsid w:val="00D31544"/>
    <w:rsid w:val="00D31631"/>
    <w:rsid w:val="00D31BAD"/>
    <w:rsid w:val="00D31E03"/>
    <w:rsid w:val="00D32501"/>
    <w:rsid w:val="00D3270D"/>
    <w:rsid w:val="00D32852"/>
    <w:rsid w:val="00D32BD3"/>
    <w:rsid w:val="00D33288"/>
    <w:rsid w:val="00D332AF"/>
    <w:rsid w:val="00D33CB9"/>
    <w:rsid w:val="00D34195"/>
    <w:rsid w:val="00D3437A"/>
    <w:rsid w:val="00D34FE2"/>
    <w:rsid w:val="00D35447"/>
    <w:rsid w:val="00D357E5"/>
    <w:rsid w:val="00D35FEE"/>
    <w:rsid w:val="00D361E6"/>
    <w:rsid w:val="00D367D6"/>
    <w:rsid w:val="00D36895"/>
    <w:rsid w:val="00D36998"/>
    <w:rsid w:val="00D36A77"/>
    <w:rsid w:val="00D36A78"/>
    <w:rsid w:val="00D36C61"/>
    <w:rsid w:val="00D36DAB"/>
    <w:rsid w:val="00D40867"/>
    <w:rsid w:val="00D40BF2"/>
    <w:rsid w:val="00D413CD"/>
    <w:rsid w:val="00D414CE"/>
    <w:rsid w:val="00D41B52"/>
    <w:rsid w:val="00D423E2"/>
    <w:rsid w:val="00D42C08"/>
    <w:rsid w:val="00D43276"/>
    <w:rsid w:val="00D439FA"/>
    <w:rsid w:val="00D43A9D"/>
    <w:rsid w:val="00D44054"/>
    <w:rsid w:val="00D44340"/>
    <w:rsid w:val="00D4443B"/>
    <w:rsid w:val="00D4450F"/>
    <w:rsid w:val="00D44644"/>
    <w:rsid w:val="00D44BCB"/>
    <w:rsid w:val="00D45689"/>
    <w:rsid w:val="00D45AD7"/>
    <w:rsid w:val="00D46410"/>
    <w:rsid w:val="00D464C6"/>
    <w:rsid w:val="00D4651E"/>
    <w:rsid w:val="00D469AD"/>
    <w:rsid w:val="00D46F2D"/>
    <w:rsid w:val="00D47A47"/>
    <w:rsid w:val="00D508BB"/>
    <w:rsid w:val="00D50BD8"/>
    <w:rsid w:val="00D50EBD"/>
    <w:rsid w:val="00D5110B"/>
    <w:rsid w:val="00D5222D"/>
    <w:rsid w:val="00D524E2"/>
    <w:rsid w:val="00D52A84"/>
    <w:rsid w:val="00D52F87"/>
    <w:rsid w:val="00D53533"/>
    <w:rsid w:val="00D5366B"/>
    <w:rsid w:val="00D537D4"/>
    <w:rsid w:val="00D5398B"/>
    <w:rsid w:val="00D53C65"/>
    <w:rsid w:val="00D54A9C"/>
    <w:rsid w:val="00D5515A"/>
    <w:rsid w:val="00D552D9"/>
    <w:rsid w:val="00D55706"/>
    <w:rsid w:val="00D55978"/>
    <w:rsid w:val="00D55999"/>
    <w:rsid w:val="00D55FDB"/>
    <w:rsid w:val="00D56051"/>
    <w:rsid w:val="00D565D6"/>
    <w:rsid w:val="00D565F9"/>
    <w:rsid w:val="00D5723F"/>
    <w:rsid w:val="00D57602"/>
    <w:rsid w:val="00D5773E"/>
    <w:rsid w:val="00D578B5"/>
    <w:rsid w:val="00D57BD5"/>
    <w:rsid w:val="00D57D91"/>
    <w:rsid w:val="00D57E04"/>
    <w:rsid w:val="00D57EF5"/>
    <w:rsid w:val="00D57FF6"/>
    <w:rsid w:val="00D60641"/>
    <w:rsid w:val="00D61221"/>
    <w:rsid w:val="00D613AA"/>
    <w:rsid w:val="00D6165F"/>
    <w:rsid w:val="00D616AC"/>
    <w:rsid w:val="00D616BA"/>
    <w:rsid w:val="00D61AFC"/>
    <w:rsid w:val="00D61B98"/>
    <w:rsid w:val="00D61F27"/>
    <w:rsid w:val="00D62010"/>
    <w:rsid w:val="00D625E4"/>
    <w:rsid w:val="00D62F0A"/>
    <w:rsid w:val="00D62FAC"/>
    <w:rsid w:val="00D634AB"/>
    <w:rsid w:val="00D6358F"/>
    <w:rsid w:val="00D63877"/>
    <w:rsid w:val="00D638EE"/>
    <w:rsid w:val="00D63AD2"/>
    <w:rsid w:val="00D63C9A"/>
    <w:rsid w:val="00D6421C"/>
    <w:rsid w:val="00D649C7"/>
    <w:rsid w:val="00D64B7C"/>
    <w:rsid w:val="00D64BDD"/>
    <w:rsid w:val="00D64C9B"/>
    <w:rsid w:val="00D65041"/>
    <w:rsid w:val="00D65047"/>
    <w:rsid w:val="00D6523A"/>
    <w:rsid w:val="00D6582B"/>
    <w:rsid w:val="00D659DF"/>
    <w:rsid w:val="00D65E45"/>
    <w:rsid w:val="00D661C0"/>
    <w:rsid w:val="00D661F4"/>
    <w:rsid w:val="00D66B3E"/>
    <w:rsid w:val="00D66D52"/>
    <w:rsid w:val="00D67403"/>
    <w:rsid w:val="00D6781E"/>
    <w:rsid w:val="00D67D63"/>
    <w:rsid w:val="00D709C6"/>
    <w:rsid w:val="00D70EF9"/>
    <w:rsid w:val="00D71121"/>
    <w:rsid w:val="00D71204"/>
    <w:rsid w:val="00D71378"/>
    <w:rsid w:val="00D713A9"/>
    <w:rsid w:val="00D71A0B"/>
    <w:rsid w:val="00D72181"/>
    <w:rsid w:val="00D726BB"/>
    <w:rsid w:val="00D72A3E"/>
    <w:rsid w:val="00D72C72"/>
    <w:rsid w:val="00D72E0B"/>
    <w:rsid w:val="00D73052"/>
    <w:rsid w:val="00D73B17"/>
    <w:rsid w:val="00D73D5E"/>
    <w:rsid w:val="00D73D65"/>
    <w:rsid w:val="00D73D7D"/>
    <w:rsid w:val="00D74558"/>
    <w:rsid w:val="00D74977"/>
    <w:rsid w:val="00D74C31"/>
    <w:rsid w:val="00D74DEA"/>
    <w:rsid w:val="00D74F2F"/>
    <w:rsid w:val="00D761B6"/>
    <w:rsid w:val="00D76327"/>
    <w:rsid w:val="00D7696F"/>
    <w:rsid w:val="00D76A6D"/>
    <w:rsid w:val="00D76B42"/>
    <w:rsid w:val="00D7711D"/>
    <w:rsid w:val="00D77359"/>
    <w:rsid w:val="00D77392"/>
    <w:rsid w:val="00D776E7"/>
    <w:rsid w:val="00D77D10"/>
    <w:rsid w:val="00D80802"/>
    <w:rsid w:val="00D80AF2"/>
    <w:rsid w:val="00D810B8"/>
    <w:rsid w:val="00D8161F"/>
    <w:rsid w:val="00D81814"/>
    <w:rsid w:val="00D81EA6"/>
    <w:rsid w:val="00D823E8"/>
    <w:rsid w:val="00D82580"/>
    <w:rsid w:val="00D827E8"/>
    <w:rsid w:val="00D828B6"/>
    <w:rsid w:val="00D828F3"/>
    <w:rsid w:val="00D829D4"/>
    <w:rsid w:val="00D829F8"/>
    <w:rsid w:val="00D82B1E"/>
    <w:rsid w:val="00D82D45"/>
    <w:rsid w:val="00D82F9A"/>
    <w:rsid w:val="00D83704"/>
    <w:rsid w:val="00D83A84"/>
    <w:rsid w:val="00D83B3B"/>
    <w:rsid w:val="00D83BC3"/>
    <w:rsid w:val="00D83C22"/>
    <w:rsid w:val="00D8429A"/>
    <w:rsid w:val="00D84303"/>
    <w:rsid w:val="00D84604"/>
    <w:rsid w:val="00D84727"/>
    <w:rsid w:val="00D84860"/>
    <w:rsid w:val="00D84870"/>
    <w:rsid w:val="00D84999"/>
    <w:rsid w:val="00D84C7E"/>
    <w:rsid w:val="00D84FEA"/>
    <w:rsid w:val="00D8508E"/>
    <w:rsid w:val="00D8529B"/>
    <w:rsid w:val="00D85403"/>
    <w:rsid w:val="00D85BF3"/>
    <w:rsid w:val="00D85DCA"/>
    <w:rsid w:val="00D8637C"/>
    <w:rsid w:val="00D8654E"/>
    <w:rsid w:val="00D86818"/>
    <w:rsid w:val="00D86A5C"/>
    <w:rsid w:val="00D86E09"/>
    <w:rsid w:val="00D87132"/>
    <w:rsid w:val="00D87302"/>
    <w:rsid w:val="00D87742"/>
    <w:rsid w:val="00D879CE"/>
    <w:rsid w:val="00D87A70"/>
    <w:rsid w:val="00D87AC1"/>
    <w:rsid w:val="00D87D6C"/>
    <w:rsid w:val="00D87DE9"/>
    <w:rsid w:val="00D87E72"/>
    <w:rsid w:val="00D90357"/>
    <w:rsid w:val="00D906A1"/>
    <w:rsid w:val="00D90B43"/>
    <w:rsid w:val="00D90EB1"/>
    <w:rsid w:val="00D911FC"/>
    <w:rsid w:val="00D916ED"/>
    <w:rsid w:val="00D917D6"/>
    <w:rsid w:val="00D91FE5"/>
    <w:rsid w:val="00D92356"/>
    <w:rsid w:val="00D92718"/>
    <w:rsid w:val="00D92917"/>
    <w:rsid w:val="00D929F3"/>
    <w:rsid w:val="00D92F00"/>
    <w:rsid w:val="00D93080"/>
    <w:rsid w:val="00D931AE"/>
    <w:rsid w:val="00D9322E"/>
    <w:rsid w:val="00D9329D"/>
    <w:rsid w:val="00D93636"/>
    <w:rsid w:val="00D93872"/>
    <w:rsid w:val="00D938A7"/>
    <w:rsid w:val="00D93922"/>
    <w:rsid w:val="00D93C53"/>
    <w:rsid w:val="00D93DA5"/>
    <w:rsid w:val="00D9580A"/>
    <w:rsid w:val="00D95A5A"/>
    <w:rsid w:val="00D95DA9"/>
    <w:rsid w:val="00D9610E"/>
    <w:rsid w:val="00D96117"/>
    <w:rsid w:val="00D968EB"/>
    <w:rsid w:val="00D969BB"/>
    <w:rsid w:val="00D96E67"/>
    <w:rsid w:val="00D976A3"/>
    <w:rsid w:val="00D97806"/>
    <w:rsid w:val="00D979B6"/>
    <w:rsid w:val="00D97AE9"/>
    <w:rsid w:val="00D97D31"/>
    <w:rsid w:val="00DA0489"/>
    <w:rsid w:val="00DA04B9"/>
    <w:rsid w:val="00DA06C3"/>
    <w:rsid w:val="00DA0A3D"/>
    <w:rsid w:val="00DA0E30"/>
    <w:rsid w:val="00DA0E4C"/>
    <w:rsid w:val="00DA1065"/>
    <w:rsid w:val="00DA1972"/>
    <w:rsid w:val="00DA20ED"/>
    <w:rsid w:val="00DA22C7"/>
    <w:rsid w:val="00DA22D7"/>
    <w:rsid w:val="00DA2C0A"/>
    <w:rsid w:val="00DA2D72"/>
    <w:rsid w:val="00DA2D85"/>
    <w:rsid w:val="00DA2DC0"/>
    <w:rsid w:val="00DA38C2"/>
    <w:rsid w:val="00DA3B8E"/>
    <w:rsid w:val="00DA3BD5"/>
    <w:rsid w:val="00DA3C1F"/>
    <w:rsid w:val="00DA439D"/>
    <w:rsid w:val="00DA454D"/>
    <w:rsid w:val="00DA4721"/>
    <w:rsid w:val="00DA4933"/>
    <w:rsid w:val="00DA5463"/>
    <w:rsid w:val="00DA5692"/>
    <w:rsid w:val="00DA57E9"/>
    <w:rsid w:val="00DA5F4A"/>
    <w:rsid w:val="00DA5F78"/>
    <w:rsid w:val="00DA6301"/>
    <w:rsid w:val="00DA65B5"/>
    <w:rsid w:val="00DA744D"/>
    <w:rsid w:val="00DA7461"/>
    <w:rsid w:val="00DB052D"/>
    <w:rsid w:val="00DB0F9B"/>
    <w:rsid w:val="00DB1281"/>
    <w:rsid w:val="00DB133B"/>
    <w:rsid w:val="00DB1840"/>
    <w:rsid w:val="00DB189D"/>
    <w:rsid w:val="00DB21E9"/>
    <w:rsid w:val="00DB2416"/>
    <w:rsid w:val="00DB2EBF"/>
    <w:rsid w:val="00DB33FB"/>
    <w:rsid w:val="00DB37A6"/>
    <w:rsid w:val="00DB3E9B"/>
    <w:rsid w:val="00DB3ED2"/>
    <w:rsid w:val="00DB4026"/>
    <w:rsid w:val="00DB4067"/>
    <w:rsid w:val="00DB41C6"/>
    <w:rsid w:val="00DB435A"/>
    <w:rsid w:val="00DB4654"/>
    <w:rsid w:val="00DB492B"/>
    <w:rsid w:val="00DB4B21"/>
    <w:rsid w:val="00DB4D27"/>
    <w:rsid w:val="00DB549A"/>
    <w:rsid w:val="00DB5887"/>
    <w:rsid w:val="00DB5AB1"/>
    <w:rsid w:val="00DB5B9A"/>
    <w:rsid w:val="00DB68D0"/>
    <w:rsid w:val="00DB6DAA"/>
    <w:rsid w:val="00DB721B"/>
    <w:rsid w:val="00DB7630"/>
    <w:rsid w:val="00DB7794"/>
    <w:rsid w:val="00DB7833"/>
    <w:rsid w:val="00DB7B93"/>
    <w:rsid w:val="00DB7C51"/>
    <w:rsid w:val="00DB7C57"/>
    <w:rsid w:val="00DB7F0F"/>
    <w:rsid w:val="00DC05ED"/>
    <w:rsid w:val="00DC089D"/>
    <w:rsid w:val="00DC0AB4"/>
    <w:rsid w:val="00DC0E7D"/>
    <w:rsid w:val="00DC174A"/>
    <w:rsid w:val="00DC1A22"/>
    <w:rsid w:val="00DC1D59"/>
    <w:rsid w:val="00DC2316"/>
    <w:rsid w:val="00DC239B"/>
    <w:rsid w:val="00DC26FC"/>
    <w:rsid w:val="00DC271A"/>
    <w:rsid w:val="00DC2EF9"/>
    <w:rsid w:val="00DC332C"/>
    <w:rsid w:val="00DC3898"/>
    <w:rsid w:val="00DC4044"/>
    <w:rsid w:val="00DC406C"/>
    <w:rsid w:val="00DC4224"/>
    <w:rsid w:val="00DC459A"/>
    <w:rsid w:val="00DC47EA"/>
    <w:rsid w:val="00DC4B6A"/>
    <w:rsid w:val="00DC4FEE"/>
    <w:rsid w:val="00DC500A"/>
    <w:rsid w:val="00DC5AEE"/>
    <w:rsid w:val="00DC680A"/>
    <w:rsid w:val="00DC68D1"/>
    <w:rsid w:val="00DC6A08"/>
    <w:rsid w:val="00DC6AD5"/>
    <w:rsid w:val="00DC6BEF"/>
    <w:rsid w:val="00DC6EE4"/>
    <w:rsid w:val="00DC722F"/>
    <w:rsid w:val="00DC789E"/>
    <w:rsid w:val="00DC7BB2"/>
    <w:rsid w:val="00DD0447"/>
    <w:rsid w:val="00DD05DD"/>
    <w:rsid w:val="00DD066C"/>
    <w:rsid w:val="00DD082E"/>
    <w:rsid w:val="00DD08A8"/>
    <w:rsid w:val="00DD091E"/>
    <w:rsid w:val="00DD0B3F"/>
    <w:rsid w:val="00DD0CCE"/>
    <w:rsid w:val="00DD11F1"/>
    <w:rsid w:val="00DD146D"/>
    <w:rsid w:val="00DD14D2"/>
    <w:rsid w:val="00DD1544"/>
    <w:rsid w:val="00DD1BDE"/>
    <w:rsid w:val="00DD1D9C"/>
    <w:rsid w:val="00DD2003"/>
    <w:rsid w:val="00DD2468"/>
    <w:rsid w:val="00DD297D"/>
    <w:rsid w:val="00DD2D6D"/>
    <w:rsid w:val="00DD3189"/>
    <w:rsid w:val="00DD34C3"/>
    <w:rsid w:val="00DD3661"/>
    <w:rsid w:val="00DD3767"/>
    <w:rsid w:val="00DD3827"/>
    <w:rsid w:val="00DD3B83"/>
    <w:rsid w:val="00DD3FD0"/>
    <w:rsid w:val="00DD4178"/>
    <w:rsid w:val="00DD42A7"/>
    <w:rsid w:val="00DD42F6"/>
    <w:rsid w:val="00DD4529"/>
    <w:rsid w:val="00DD47CC"/>
    <w:rsid w:val="00DD49C4"/>
    <w:rsid w:val="00DD4A33"/>
    <w:rsid w:val="00DD4B73"/>
    <w:rsid w:val="00DD4E6B"/>
    <w:rsid w:val="00DD5548"/>
    <w:rsid w:val="00DD5A56"/>
    <w:rsid w:val="00DD639D"/>
    <w:rsid w:val="00DD64A1"/>
    <w:rsid w:val="00DD67D7"/>
    <w:rsid w:val="00DD68CB"/>
    <w:rsid w:val="00DD7360"/>
    <w:rsid w:val="00DD7363"/>
    <w:rsid w:val="00DD7D06"/>
    <w:rsid w:val="00DD7DF5"/>
    <w:rsid w:val="00DD7E3C"/>
    <w:rsid w:val="00DE009D"/>
    <w:rsid w:val="00DE0449"/>
    <w:rsid w:val="00DE0F74"/>
    <w:rsid w:val="00DE141F"/>
    <w:rsid w:val="00DE151A"/>
    <w:rsid w:val="00DE1A44"/>
    <w:rsid w:val="00DE1B6D"/>
    <w:rsid w:val="00DE1CE0"/>
    <w:rsid w:val="00DE22EB"/>
    <w:rsid w:val="00DE2718"/>
    <w:rsid w:val="00DE2D9B"/>
    <w:rsid w:val="00DE341F"/>
    <w:rsid w:val="00DE378F"/>
    <w:rsid w:val="00DE3938"/>
    <w:rsid w:val="00DE39F2"/>
    <w:rsid w:val="00DE3CB3"/>
    <w:rsid w:val="00DE3FDB"/>
    <w:rsid w:val="00DE438C"/>
    <w:rsid w:val="00DE4590"/>
    <w:rsid w:val="00DE4F1D"/>
    <w:rsid w:val="00DE4FD7"/>
    <w:rsid w:val="00DE531C"/>
    <w:rsid w:val="00DE57BA"/>
    <w:rsid w:val="00DE5EAD"/>
    <w:rsid w:val="00DE63FD"/>
    <w:rsid w:val="00DE65F4"/>
    <w:rsid w:val="00DE6966"/>
    <w:rsid w:val="00DE696D"/>
    <w:rsid w:val="00DE7682"/>
    <w:rsid w:val="00DE780A"/>
    <w:rsid w:val="00DE79ED"/>
    <w:rsid w:val="00DE7D0A"/>
    <w:rsid w:val="00DE7DAE"/>
    <w:rsid w:val="00DE7E22"/>
    <w:rsid w:val="00DF0725"/>
    <w:rsid w:val="00DF0AF9"/>
    <w:rsid w:val="00DF0E2C"/>
    <w:rsid w:val="00DF122B"/>
    <w:rsid w:val="00DF172B"/>
    <w:rsid w:val="00DF175F"/>
    <w:rsid w:val="00DF1C0B"/>
    <w:rsid w:val="00DF242F"/>
    <w:rsid w:val="00DF26A5"/>
    <w:rsid w:val="00DF2725"/>
    <w:rsid w:val="00DF29DC"/>
    <w:rsid w:val="00DF2B6B"/>
    <w:rsid w:val="00DF2BC8"/>
    <w:rsid w:val="00DF30B8"/>
    <w:rsid w:val="00DF31C8"/>
    <w:rsid w:val="00DF331F"/>
    <w:rsid w:val="00DF3533"/>
    <w:rsid w:val="00DF378B"/>
    <w:rsid w:val="00DF39BF"/>
    <w:rsid w:val="00DF3C43"/>
    <w:rsid w:val="00DF3D40"/>
    <w:rsid w:val="00DF4032"/>
    <w:rsid w:val="00DF421E"/>
    <w:rsid w:val="00DF4B98"/>
    <w:rsid w:val="00DF5478"/>
    <w:rsid w:val="00DF54E1"/>
    <w:rsid w:val="00DF584F"/>
    <w:rsid w:val="00DF6854"/>
    <w:rsid w:val="00DF6AB8"/>
    <w:rsid w:val="00DF6C20"/>
    <w:rsid w:val="00DF6C4D"/>
    <w:rsid w:val="00DF6E31"/>
    <w:rsid w:val="00DF6F32"/>
    <w:rsid w:val="00DF71DE"/>
    <w:rsid w:val="00DF741A"/>
    <w:rsid w:val="00E000D5"/>
    <w:rsid w:val="00E000F0"/>
    <w:rsid w:val="00E00179"/>
    <w:rsid w:val="00E0058D"/>
    <w:rsid w:val="00E00672"/>
    <w:rsid w:val="00E0068F"/>
    <w:rsid w:val="00E007DD"/>
    <w:rsid w:val="00E01154"/>
    <w:rsid w:val="00E011C6"/>
    <w:rsid w:val="00E015C4"/>
    <w:rsid w:val="00E01D25"/>
    <w:rsid w:val="00E022B0"/>
    <w:rsid w:val="00E023A0"/>
    <w:rsid w:val="00E02599"/>
    <w:rsid w:val="00E032FC"/>
    <w:rsid w:val="00E0358C"/>
    <w:rsid w:val="00E036F1"/>
    <w:rsid w:val="00E0397A"/>
    <w:rsid w:val="00E03AB6"/>
    <w:rsid w:val="00E03C21"/>
    <w:rsid w:val="00E03FC4"/>
    <w:rsid w:val="00E04F38"/>
    <w:rsid w:val="00E05E4A"/>
    <w:rsid w:val="00E05F00"/>
    <w:rsid w:val="00E062CE"/>
    <w:rsid w:val="00E06576"/>
    <w:rsid w:val="00E06A4A"/>
    <w:rsid w:val="00E07D8F"/>
    <w:rsid w:val="00E07E7C"/>
    <w:rsid w:val="00E10157"/>
    <w:rsid w:val="00E10527"/>
    <w:rsid w:val="00E1095A"/>
    <w:rsid w:val="00E10A70"/>
    <w:rsid w:val="00E10B9D"/>
    <w:rsid w:val="00E10E7B"/>
    <w:rsid w:val="00E11826"/>
    <w:rsid w:val="00E1198C"/>
    <w:rsid w:val="00E12275"/>
    <w:rsid w:val="00E12878"/>
    <w:rsid w:val="00E12BA4"/>
    <w:rsid w:val="00E12E52"/>
    <w:rsid w:val="00E12FF8"/>
    <w:rsid w:val="00E13209"/>
    <w:rsid w:val="00E13431"/>
    <w:rsid w:val="00E13631"/>
    <w:rsid w:val="00E13643"/>
    <w:rsid w:val="00E13D4F"/>
    <w:rsid w:val="00E140B1"/>
    <w:rsid w:val="00E144B2"/>
    <w:rsid w:val="00E14615"/>
    <w:rsid w:val="00E1486D"/>
    <w:rsid w:val="00E15531"/>
    <w:rsid w:val="00E15698"/>
    <w:rsid w:val="00E15DC4"/>
    <w:rsid w:val="00E15ED2"/>
    <w:rsid w:val="00E15F9B"/>
    <w:rsid w:val="00E15FDB"/>
    <w:rsid w:val="00E16793"/>
    <w:rsid w:val="00E16DBE"/>
    <w:rsid w:val="00E16E0E"/>
    <w:rsid w:val="00E1710E"/>
    <w:rsid w:val="00E176B9"/>
    <w:rsid w:val="00E1776F"/>
    <w:rsid w:val="00E17C39"/>
    <w:rsid w:val="00E17CA7"/>
    <w:rsid w:val="00E201C1"/>
    <w:rsid w:val="00E20437"/>
    <w:rsid w:val="00E20460"/>
    <w:rsid w:val="00E2094E"/>
    <w:rsid w:val="00E20DBF"/>
    <w:rsid w:val="00E211C5"/>
    <w:rsid w:val="00E213C4"/>
    <w:rsid w:val="00E215EB"/>
    <w:rsid w:val="00E21A88"/>
    <w:rsid w:val="00E21D3C"/>
    <w:rsid w:val="00E227CC"/>
    <w:rsid w:val="00E228F6"/>
    <w:rsid w:val="00E22F55"/>
    <w:rsid w:val="00E230F7"/>
    <w:rsid w:val="00E23123"/>
    <w:rsid w:val="00E236B5"/>
    <w:rsid w:val="00E245E0"/>
    <w:rsid w:val="00E248EB"/>
    <w:rsid w:val="00E24E66"/>
    <w:rsid w:val="00E253FC"/>
    <w:rsid w:val="00E25613"/>
    <w:rsid w:val="00E259F9"/>
    <w:rsid w:val="00E25D66"/>
    <w:rsid w:val="00E26BBE"/>
    <w:rsid w:val="00E26E12"/>
    <w:rsid w:val="00E26E60"/>
    <w:rsid w:val="00E27AC2"/>
    <w:rsid w:val="00E27E3C"/>
    <w:rsid w:val="00E300F4"/>
    <w:rsid w:val="00E301B0"/>
    <w:rsid w:val="00E303D0"/>
    <w:rsid w:val="00E304FF"/>
    <w:rsid w:val="00E30737"/>
    <w:rsid w:val="00E3085D"/>
    <w:rsid w:val="00E30967"/>
    <w:rsid w:val="00E30C68"/>
    <w:rsid w:val="00E30E47"/>
    <w:rsid w:val="00E32281"/>
    <w:rsid w:val="00E326B8"/>
    <w:rsid w:val="00E3320E"/>
    <w:rsid w:val="00E33C98"/>
    <w:rsid w:val="00E33E3E"/>
    <w:rsid w:val="00E33F7B"/>
    <w:rsid w:val="00E346C2"/>
    <w:rsid w:val="00E34EDD"/>
    <w:rsid w:val="00E35A23"/>
    <w:rsid w:val="00E35C7A"/>
    <w:rsid w:val="00E35CF7"/>
    <w:rsid w:val="00E36327"/>
    <w:rsid w:val="00E3691F"/>
    <w:rsid w:val="00E36BF2"/>
    <w:rsid w:val="00E36C7C"/>
    <w:rsid w:val="00E36DFC"/>
    <w:rsid w:val="00E37375"/>
    <w:rsid w:val="00E377BD"/>
    <w:rsid w:val="00E37C94"/>
    <w:rsid w:val="00E40830"/>
    <w:rsid w:val="00E4093A"/>
    <w:rsid w:val="00E419A7"/>
    <w:rsid w:val="00E419D2"/>
    <w:rsid w:val="00E41A0A"/>
    <w:rsid w:val="00E4242D"/>
    <w:rsid w:val="00E429CD"/>
    <w:rsid w:val="00E42FD1"/>
    <w:rsid w:val="00E431DE"/>
    <w:rsid w:val="00E433BF"/>
    <w:rsid w:val="00E4351B"/>
    <w:rsid w:val="00E4380E"/>
    <w:rsid w:val="00E438A1"/>
    <w:rsid w:val="00E43CBC"/>
    <w:rsid w:val="00E441DF"/>
    <w:rsid w:val="00E44896"/>
    <w:rsid w:val="00E44968"/>
    <w:rsid w:val="00E449C1"/>
    <w:rsid w:val="00E44EC4"/>
    <w:rsid w:val="00E44EF3"/>
    <w:rsid w:val="00E4508C"/>
    <w:rsid w:val="00E452BB"/>
    <w:rsid w:val="00E453D1"/>
    <w:rsid w:val="00E45483"/>
    <w:rsid w:val="00E457FC"/>
    <w:rsid w:val="00E463D3"/>
    <w:rsid w:val="00E46C4F"/>
    <w:rsid w:val="00E4712B"/>
    <w:rsid w:val="00E47407"/>
    <w:rsid w:val="00E47820"/>
    <w:rsid w:val="00E47BA3"/>
    <w:rsid w:val="00E47D0D"/>
    <w:rsid w:val="00E500B3"/>
    <w:rsid w:val="00E50864"/>
    <w:rsid w:val="00E50FA7"/>
    <w:rsid w:val="00E51137"/>
    <w:rsid w:val="00E511F9"/>
    <w:rsid w:val="00E51B2D"/>
    <w:rsid w:val="00E520D3"/>
    <w:rsid w:val="00E5248F"/>
    <w:rsid w:val="00E52953"/>
    <w:rsid w:val="00E529EA"/>
    <w:rsid w:val="00E52AD4"/>
    <w:rsid w:val="00E52AF1"/>
    <w:rsid w:val="00E52B59"/>
    <w:rsid w:val="00E52C8F"/>
    <w:rsid w:val="00E52E05"/>
    <w:rsid w:val="00E53874"/>
    <w:rsid w:val="00E538FD"/>
    <w:rsid w:val="00E53EDC"/>
    <w:rsid w:val="00E53F36"/>
    <w:rsid w:val="00E544FB"/>
    <w:rsid w:val="00E547D4"/>
    <w:rsid w:val="00E54868"/>
    <w:rsid w:val="00E548BA"/>
    <w:rsid w:val="00E55224"/>
    <w:rsid w:val="00E552FC"/>
    <w:rsid w:val="00E5537E"/>
    <w:rsid w:val="00E55EAB"/>
    <w:rsid w:val="00E56669"/>
    <w:rsid w:val="00E5676B"/>
    <w:rsid w:val="00E56E1B"/>
    <w:rsid w:val="00E56F60"/>
    <w:rsid w:val="00E57513"/>
    <w:rsid w:val="00E575A5"/>
    <w:rsid w:val="00E576F1"/>
    <w:rsid w:val="00E57C73"/>
    <w:rsid w:val="00E600DB"/>
    <w:rsid w:val="00E615BD"/>
    <w:rsid w:val="00E6160E"/>
    <w:rsid w:val="00E616C0"/>
    <w:rsid w:val="00E61874"/>
    <w:rsid w:val="00E6191C"/>
    <w:rsid w:val="00E61C60"/>
    <w:rsid w:val="00E6206E"/>
    <w:rsid w:val="00E62F12"/>
    <w:rsid w:val="00E6321E"/>
    <w:rsid w:val="00E6326E"/>
    <w:rsid w:val="00E633B1"/>
    <w:rsid w:val="00E63BA6"/>
    <w:rsid w:val="00E63C99"/>
    <w:rsid w:val="00E63F5D"/>
    <w:rsid w:val="00E64931"/>
    <w:rsid w:val="00E649BB"/>
    <w:rsid w:val="00E64E7B"/>
    <w:rsid w:val="00E651A1"/>
    <w:rsid w:val="00E651C7"/>
    <w:rsid w:val="00E65219"/>
    <w:rsid w:val="00E655FC"/>
    <w:rsid w:val="00E65622"/>
    <w:rsid w:val="00E6588B"/>
    <w:rsid w:val="00E66629"/>
    <w:rsid w:val="00E666EC"/>
    <w:rsid w:val="00E669C2"/>
    <w:rsid w:val="00E66E44"/>
    <w:rsid w:val="00E67126"/>
    <w:rsid w:val="00E6758B"/>
    <w:rsid w:val="00E70004"/>
    <w:rsid w:val="00E704E3"/>
    <w:rsid w:val="00E70A92"/>
    <w:rsid w:val="00E70D7C"/>
    <w:rsid w:val="00E70DA0"/>
    <w:rsid w:val="00E70E53"/>
    <w:rsid w:val="00E71354"/>
    <w:rsid w:val="00E717E7"/>
    <w:rsid w:val="00E71C40"/>
    <w:rsid w:val="00E71F79"/>
    <w:rsid w:val="00E7208F"/>
    <w:rsid w:val="00E720D1"/>
    <w:rsid w:val="00E72123"/>
    <w:rsid w:val="00E721C4"/>
    <w:rsid w:val="00E72B4C"/>
    <w:rsid w:val="00E733C9"/>
    <w:rsid w:val="00E7375F"/>
    <w:rsid w:val="00E737DA"/>
    <w:rsid w:val="00E73A82"/>
    <w:rsid w:val="00E73C57"/>
    <w:rsid w:val="00E73E47"/>
    <w:rsid w:val="00E7408E"/>
    <w:rsid w:val="00E74150"/>
    <w:rsid w:val="00E7460D"/>
    <w:rsid w:val="00E74B98"/>
    <w:rsid w:val="00E74EE7"/>
    <w:rsid w:val="00E74F9C"/>
    <w:rsid w:val="00E7549E"/>
    <w:rsid w:val="00E75AD0"/>
    <w:rsid w:val="00E75CC3"/>
    <w:rsid w:val="00E75D44"/>
    <w:rsid w:val="00E75F9D"/>
    <w:rsid w:val="00E763D3"/>
    <w:rsid w:val="00E766DA"/>
    <w:rsid w:val="00E76C5E"/>
    <w:rsid w:val="00E76D83"/>
    <w:rsid w:val="00E77D77"/>
    <w:rsid w:val="00E77DA2"/>
    <w:rsid w:val="00E8000E"/>
    <w:rsid w:val="00E8040E"/>
    <w:rsid w:val="00E81279"/>
    <w:rsid w:val="00E815CD"/>
    <w:rsid w:val="00E81C51"/>
    <w:rsid w:val="00E81EDB"/>
    <w:rsid w:val="00E8209C"/>
    <w:rsid w:val="00E82150"/>
    <w:rsid w:val="00E82236"/>
    <w:rsid w:val="00E82429"/>
    <w:rsid w:val="00E82538"/>
    <w:rsid w:val="00E82986"/>
    <w:rsid w:val="00E8384A"/>
    <w:rsid w:val="00E8389B"/>
    <w:rsid w:val="00E83D86"/>
    <w:rsid w:val="00E8402B"/>
    <w:rsid w:val="00E842B7"/>
    <w:rsid w:val="00E84475"/>
    <w:rsid w:val="00E8450F"/>
    <w:rsid w:val="00E84954"/>
    <w:rsid w:val="00E84F7C"/>
    <w:rsid w:val="00E8558F"/>
    <w:rsid w:val="00E85887"/>
    <w:rsid w:val="00E858EC"/>
    <w:rsid w:val="00E85BBA"/>
    <w:rsid w:val="00E8620D"/>
    <w:rsid w:val="00E86387"/>
    <w:rsid w:val="00E86F40"/>
    <w:rsid w:val="00E87333"/>
    <w:rsid w:val="00E877D0"/>
    <w:rsid w:val="00E87A62"/>
    <w:rsid w:val="00E90772"/>
    <w:rsid w:val="00E90794"/>
    <w:rsid w:val="00E90B3E"/>
    <w:rsid w:val="00E90BE8"/>
    <w:rsid w:val="00E91372"/>
    <w:rsid w:val="00E91D5D"/>
    <w:rsid w:val="00E9214E"/>
    <w:rsid w:val="00E9222F"/>
    <w:rsid w:val="00E923E0"/>
    <w:rsid w:val="00E92551"/>
    <w:rsid w:val="00E92DEE"/>
    <w:rsid w:val="00E9349C"/>
    <w:rsid w:val="00E93535"/>
    <w:rsid w:val="00E93565"/>
    <w:rsid w:val="00E9375E"/>
    <w:rsid w:val="00E93C52"/>
    <w:rsid w:val="00E93E4F"/>
    <w:rsid w:val="00E941E8"/>
    <w:rsid w:val="00E94AE0"/>
    <w:rsid w:val="00E94E37"/>
    <w:rsid w:val="00E95697"/>
    <w:rsid w:val="00E95A1B"/>
    <w:rsid w:val="00E95C8A"/>
    <w:rsid w:val="00E95CD8"/>
    <w:rsid w:val="00E9620C"/>
    <w:rsid w:val="00E96AB4"/>
    <w:rsid w:val="00E96AF6"/>
    <w:rsid w:val="00E96CFC"/>
    <w:rsid w:val="00E96DD8"/>
    <w:rsid w:val="00E96FDA"/>
    <w:rsid w:val="00E9712B"/>
    <w:rsid w:val="00E9729B"/>
    <w:rsid w:val="00E9736B"/>
    <w:rsid w:val="00E975BC"/>
    <w:rsid w:val="00E979AB"/>
    <w:rsid w:val="00E97AD2"/>
    <w:rsid w:val="00E97D0E"/>
    <w:rsid w:val="00E97E97"/>
    <w:rsid w:val="00E97F26"/>
    <w:rsid w:val="00EA0FFE"/>
    <w:rsid w:val="00EA11C8"/>
    <w:rsid w:val="00EA1415"/>
    <w:rsid w:val="00EA1476"/>
    <w:rsid w:val="00EA14B1"/>
    <w:rsid w:val="00EA1A19"/>
    <w:rsid w:val="00EA1C19"/>
    <w:rsid w:val="00EA1F9E"/>
    <w:rsid w:val="00EA25BD"/>
    <w:rsid w:val="00EA2644"/>
    <w:rsid w:val="00EA2C50"/>
    <w:rsid w:val="00EA30C9"/>
    <w:rsid w:val="00EA3625"/>
    <w:rsid w:val="00EA3E34"/>
    <w:rsid w:val="00EA4193"/>
    <w:rsid w:val="00EA447D"/>
    <w:rsid w:val="00EA5095"/>
    <w:rsid w:val="00EA5460"/>
    <w:rsid w:val="00EA5795"/>
    <w:rsid w:val="00EA57B5"/>
    <w:rsid w:val="00EA6118"/>
    <w:rsid w:val="00EA6182"/>
    <w:rsid w:val="00EA64A5"/>
    <w:rsid w:val="00EA6776"/>
    <w:rsid w:val="00EA6955"/>
    <w:rsid w:val="00EA6A18"/>
    <w:rsid w:val="00EA6BFA"/>
    <w:rsid w:val="00EA73DA"/>
    <w:rsid w:val="00EA74ED"/>
    <w:rsid w:val="00EB0876"/>
    <w:rsid w:val="00EB0F1B"/>
    <w:rsid w:val="00EB103A"/>
    <w:rsid w:val="00EB1287"/>
    <w:rsid w:val="00EB12C9"/>
    <w:rsid w:val="00EB152D"/>
    <w:rsid w:val="00EB1665"/>
    <w:rsid w:val="00EB225C"/>
    <w:rsid w:val="00EB274A"/>
    <w:rsid w:val="00EB2753"/>
    <w:rsid w:val="00EB2870"/>
    <w:rsid w:val="00EB2AF9"/>
    <w:rsid w:val="00EB3756"/>
    <w:rsid w:val="00EB3C1C"/>
    <w:rsid w:val="00EB4208"/>
    <w:rsid w:val="00EB42D6"/>
    <w:rsid w:val="00EB45E3"/>
    <w:rsid w:val="00EB4EFF"/>
    <w:rsid w:val="00EB54CA"/>
    <w:rsid w:val="00EB54DE"/>
    <w:rsid w:val="00EB54ED"/>
    <w:rsid w:val="00EB580F"/>
    <w:rsid w:val="00EB5A92"/>
    <w:rsid w:val="00EB5AB4"/>
    <w:rsid w:val="00EB5BEE"/>
    <w:rsid w:val="00EB628B"/>
    <w:rsid w:val="00EB6340"/>
    <w:rsid w:val="00EB6407"/>
    <w:rsid w:val="00EB649B"/>
    <w:rsid w:val="00EB6A67"/>
    <w:rsid w:val="00EB6EA9"/>
    <w:rsid w:val="00EB773E"/>
    <w:rsid w:val="00EB77D7"/>
    <w:rsid w:val="00EB7AF8"/>
    <w:rsid w:val="00EB7BB5"/>
    <w:rsid w:val="00EC001F"/>
    <w:rsid w:val="00EC0105"/>
    <w:rsid w:val="00EC078F"/>
    <w:rsid w:val="00EC0BCE"/>
    <w:rsid w:val="00EC1210"/>
    <w:rsid w:val="00EC1D8D"/>
    <w:rsid w:val="00EC2111"/>
    <w:rsid w:val="00EC2155"/>
    <w:rsid w:val="00EC2273"/>
    <w:rsid w:val="00EC299E"/>
    <w:rsid w:val="00EC2F29"/>
    <w:rsid w:val="00EC319B"/>
    <w:rsid w:val="00EC320D"/>
    <w:rsid w:val="00EC3457"/>
    <w:rsid w:val="00EC358C"/>
    <w:rsid w:val="00EC36FA"/>
    <w:rsid w:val="00EC3B75"/>
    <w:rsid w:val="00EC3C99"/>
    <w:rsid w:val="00EC3DD8"/>
    <w:rsid w:val="00EC407C"/>
    <w:rsid w:val="00EC4923"/>
    <w:rsid w:val="00EC4E8E"/>
    <w:rsid w:val="00EC502B"/>
    <w:rsid w:val="00EC5CDD"/>
    <w:rsid w:val="00EC6038"/>
    <w:rsid w:val="00EC6649"/>
    <w:rsid w:val="00EC6CAD"/>
    <w:rsid w:val="00EC70CF"/>
    <w:rsid w:val="00EC7621"/>
    <w:rsid w:val="00EC799B"/>
    <w:rsid w:val="00EC7D6A"/>
    <w:rsid w:val="00EC7D81"/>
    <w:rsid w:val="00ED00D1"/>
    <w:rsid w:val="00ED042E"/>
    <w:rsid w:val="00ED0470"/>
    <w:rsid w:val="00ED0754"/>
    <w:rsid w:val="00ED0951"/>
    <w:rsid w:val="00ED0A39"/>
    <w:rsid w:val="00ED0E39"/>
    <w:rsid w:val="00ED0FE5"/>
    <w:rsid w:val="00ED1C63"/>
    <w:rsid w:val="00ED1CCE"/>
    <w:rsid w:val="00ED1D39"/>
    <w:rsid w:val="00ED1DBA"/>
    <w:rsid w:val="00ED24AD"/>
    <w:rsid w:val="00ED2ED4"/>
    <w:rsid w:val="00ED2EF3"/>
    <w:rsid w:val="00ED3559"/>
    <w:rsid w:val="00ED358C"/>
    <w:rsid w:val="00ED387A"/>
    <w:rsid w:val="00ED3A53"/>
    <w:rsid w:val="00ED3F26"/>
    <w:rsid w:val="00ED4276"/>
    <w:rsid w:val="00ED451F"/>
    <w:rsid w:val="00ED4570"/>
    <w:rsid w:val="00ED4612"/>
    <w:rsid w:val="00ED4742"/>
    <w:rsid w:val="00ED4E88"/>
    <w:rsid w:val="00ED53E1"/>
    <w:rsid w:val="00ED57A2"/>
    <w:rsid w:val="00ED5EB2"/>
    <w:rsid w:val="00ED68E1"/>
    <w:rsid w:val="00ED6AE3"/>
    <w:rsid w:val="00ED6BAB"/>
    <w:rsid w:val="00ED6FDA"/>
    <w:rsid w:val="00ED7341"/>
    <w:rsid w:val="00ED750C"/>
    <w:rsid w:val="00ED7900"/>
    <w:rsid w:val="00ED7979"/>
    <w:rsid w:val="00ED7A0B"/>
    <w:rsid w:val="00ED7F79"/>
    <w:rsid w:val="00EE0007"/>
    <w:rsid w:val="00EE0009"/>
    <w:rsid w:val="00EE0439"/>
    <w:rsid w:val="00EE0BBF"/>
    <w:rsid w:val="00EE0D69"/>
    <w:rsid w:val="00EE0D9C"/>
    <w:rsid w:val="00EE17E6"/>
    <w:rsid w:val="00EE1976"/>
    <w:rsid w:val="00EE1A2C"/>
    <w:rsid w:val="00EE1B29"/>
    <w:rsid w:val="00EE1D88"/>
    <w:rsid w:val="00EE246F"/>
    <w:rsid w:val="00EE3075"/>
    <w:rsid w:val="00EE3092"/>
    <w:rsid w:val="00EE3796"/>
    <w:rsid w:val="00EE396E"/>
    <w:rsid w:val="00EE3E82"/>
    <w:rsid w:val="00EE466B"/>
    <w:rsid w:val="00EE4889"/>
    <w:rsid w:val="00EE49F2"/>
    <w:rsid w:val="00EE4EDA"/>
    <w:rsid w:val="00EE57DB"/>
    <w:rsid w:val="00EE586B"/>
    <w:rsid w:val="00EE58B3"/>
    <w:rsid w:val="00EE5D08"/>
    <w:rsid w:val="00EE62C3"/>
    <w:rsid w:val="00EE638C"/>
    <w:rsid w:val="00EE63BB"/>
    <w:rsid w:val="00EE64CD"/>
    <w:rsid w:val="00EE6635"/>
    <w:rsid w:val="00EE68E7"/>
    <w:rsid w:val="00EE71CF"/>
    <w:rsid w:val="00EE73D0"/>
    <w:rsid w:val="00EE7543"/>
    <w:rsid w:val="00EE7F39"/>
    <w:rsid w:val="00EE7F7F"/>
    <w:rsid w:val="00EF0030"/>
    <w:rsid w:val="00EF0106"/>
    <w:rsid w:val="00EF0303"/>
    <w:rsid w:val="00EF04E0"/>
    <w:rsid w:val="00EF063F"/>
    <w:rsid w:val="00EF0667"/>
    <w:rsid w:val="00EF0A12"/>
    <w:rsid w:val="00EF0C0E"/>
    <w:rsid w:val="00EF12C6"/>
    <w:rsid w:val="00EF1416"/>
    <w:rsid w:val="00EF1D1E"/>
    <w:rsid w:val="00EF24C8"/>
    <w:rsid w:val="00EF2653"/>
    <w:rsid w:val="00EF2947"/>
    <w:rsid w:val="00EF322F"/>
    <w:rsid w:val="00EF33AA"/>
    <w:rsid w:val="00EF3432"/>
    <w:rsid w:val="00EF385C"/>
    <w:rsid w:val="00EF4127"/>
    <w:rsid w:val="00EF4305"/>
    <w:rsid w:val="00EF4D61"/>
    <w:rsid w:val="00EF4EA5"/>
    <w:rsid w:val="00EF53D0"/>
    <w:rsid w:val="00EF55BD"/>
    <w:rsid w:val="00EF6454"/>
    <w:rsid w:val="00EF6662"/>
    <w:rsid w:val="00EF69B7"/>
    <w:rsid w:val="00EF6A44"/>
    <w:rsid w:val="00EF6CFF"/>
    <w:rsid w:val="00EF6E60"/>
    <w:rsid w:val="00EF7350"/>
    <w:rsid w:val="00EF73BA"/>
    <w:rsid w:val="00EF7507"/>
    <w:rsid w:val="00EF75C5"/>
    <w:rsid w:val="00EF7938"/>
    <w:rsid w:val="00F000C3"/>
    <w:rsid w:val="00F008F8"/>
    <w:rsid w:val="00F00A37"/>
    <w:rsid w:val="00F00FD4"/>
    <w:rsid w:val="00F0136A"/>
    <w:rsid w:val="00F0164F"/>
    <w:rsid w:val="00F0197B"/>
    <w:rsid w:val="00F01FC8"/>
    <w:rsid w:val="00F021C0"/>
    <w:rsid w:val="00F03539"/>
    <w:rsid w:val="00F037B6"/>
    <w:rsid w:val="00F0457F"/>
    <w:rsid w:val="00F04A52"/>
    <w:rsid w:val="00F05208"/>
    <w:rsid w:val="00F05244"/>
    <w:rsid w:val="00F053A8"/>
    <w:rsid w:val="00F05C50"/>
    <w:rsid w:val="00F05F8A"/>
    <w:rsid w:val="00F0610B"/>
    <w:rsid w:val="00F06310"/>
    <w:rsid w:val="00F06388"/>
    <w:rsid w:val="00F065E1"/>
    <w:rsid w:val="00F0764C"/>
    <w:rsid w:val="00F07D50"/>
    <w:rsid w:val="00F106EC"/>
    <w:rsid w:val="00F1082D"/>
    <w:rsid w:val="00F1127E"/>
    <w:rsid w:val="00F113B0"/>
    <w:rsid w:val="00F12140"/>
    <w:rsid w:val="00F121BF"/>
    <w:rsid w:val="00F122E0"/>
    <w:rsid w:val="00F125AF"/>
    <w:rsid w:val="00F13023"/>
    <w:rsid w:val="00F133DE"/>
    <w:rsid w:val="00F13772"/>
    <w:rsid w:val="00F1393F"/>
    <w:rsid w:val="00F1418C"/>
    <w:rsid w:val="00F14B3C"/>
    <w:rsid w:val="00F1503D"/>
    <w:rsid w:val="00F154AC"/>
    <w:rsid w:val="00F15CE8"/>
    <w:rsid w:val="00F162D0"/>
    <w:rsid w:val="00F1657E"/>
    <w:rsid w:val="00F1681D"/>
    <w:rsid w:val="00F16FAC"/>
    <w:rsid w:val="00F17551"/>
    <w:rsid w:val="00F1779D"/>
    <w:rsid w:val="00F17C60"/>
    <w:rsid w:val="00F2020D"/>
    <w:rsid w:val="00F20910"/>
    <w:rsid w:val="00F20AB7"/>
    <w:rsid w:val="00F20AF5"/>
    <w:rsid w:val="00F20C0D"/>
    <w:rsid w:val="00F20CB6"/>
    <w:rsid w:val="00F21025"/>
    <w:rsid w:val="00F211BD"/>
    <w:rsid w:val="00F211C5"/>
    <w:rsid w:val="00F2151D"/>
    <w:rsid w:val="00F215BF"/>
    <w:rsid w:val="00F2165B"/>
    <w:rsid w:val="00F2191F"/>
    <w:rsid w:val="00F219B0"/>
    <w:rsid w:val="00F226E6"/>
    <w:rsid w:val="00F22915"/>
    <w:rsid w:val="00F22C4E"/>
    <w:rsid w:val="00F22CE8"/>
    <w:rsid w:val="00F22D86"/>
    <w:rsid w:val="00F22DC9"/>
    <w:rsid w:val="00F22DD3"/>
    <w:rsid w:val="00F22E20"/>
    <w:rsid w:val="00F22FA4"/>
    <w:rsid w:val="00F23209"/>
    <w:rsid w:val="00F233AF"/>
    <w:rsid w:val="00F23964"/>
    <w:rsid w:val="00F24000"/>
    <w:rsid w:val="00F241FD"/>
    <w:rsid w:val="00F24382"/>
    <w:rsid w:val="00F2449A"/>
    <w:rsid w:val="00F24F82"/>
    <w:rsid w:val="00F25104"/>
    <w:rsid w:val="00F25124"/>
    <w:rsid w:val="00F2513A"/>
    <w:rsid w:val="00F25593"/>
    <w:rsid w:val="00F26128"/>
    <w:rsid w:val="00F261F7"/>
    <w:rsid w:val="00F263EF"/>
    <w:rsid w:val="00F26785"/>
    <w:rsid w:val="00F26989"/>
    <w:rsid w:val="00F26F4B"/>
    <w:rsid w:val="00F27387"/>
    <w:rsid w:val="00F27755"/>
    <w:rsid w:val="00F27AA4"/>
    <w:rsid w:val="00F27B44"/>
    <w:rsid w:val="00F27F49"/>
    <w:rsid w:val="00F30050"/>
    <w:rsid w:val="00F301D1"/>
    <w:rsid w:val="00F30493"/>
    <w:rsid w:val="00F304AA"/>
    <w:rsid w:val="00F3065C"/>
    <w:rsid w:val="00F30AB4"/>
    <w:rsid w:val="00F31079"/>
    <w:rsid w:val="00F31347"/>
    <w:rsid w:val="00F318A7"/>
    <w:rsid w:val="00F3192D"/>
    <w:rsid w:val="00F31B7B"/>
    <w:rsid w:val="00F31C76"/>
    <w:rsid w:val="00F31E01"/>
    <w:rsid w:val="00F31F60"/>
    <w:rsid w:val="00F323CD"/>
    <w:rsid w:val="00F3277F"/>
    <w:rsid w:val="00F32AA2"/>
    <w:rsid w:val="00F3302B"/>
    <w:rsid w:val="00F33042"/>
    <w:rsid w:val="00F33167"/>
    <w:rsid w:val="00F331E3"/>
    <w:rsid w:val="00F3325E"/>
    <w:rsid w:val="00F33E48"/>
    <w:rsid w:val="00F3489B"/>
    <w:rsid w:val="00F348EE"/>
    <w:rsid w:val="00F3533D"/>
    <w:rsid w:val="00F357C4"/>
    <w:rsid w:val="00F35ED7"/>
    <w:rsid w:val="00F361FF"/>
    <w:rsid w:val="00F363A6"/>
    <w:rsid w:val="00F36480"/>
    <w:rsid w:val="00F3689E"/>
    <w:rsid w:val="00F36A15"/>
    <w:rsid w:val="00F36C9D"/>
    <w:rsid w:val="00F372E6"/>
    <w:rsid w:val="00F37926"/>
    <w:rsid w:val="00F37A09"/>
    <w:rsid w:val="00F4049C"/>
    <w:rsid w:val="00F40990"/>
    <w:rsid w:val="00F40F8D"/>
    <w:rsid w:val="00F4178A"/>
    <w:rsid w:val="00F418C2"/>
    <w:rsid w:val="00F4196D"/>
    <w:rsid w:val="00F41ADD"/>
    <w:rsid w:val="00F41C9B"/>
    <w:rsid w:val="00F41CD1"/>
    <w:rsid w:val="00F42124"/>
    <w:rsid w:val="00F42345"/>
    <w:rsid w:val="00F426B3"/>
    <w:rsid w:val="00F430E7"/>
    <w:rsid w:val="00F436A6"/>
    <w:rsid w:val="00F4370A"/>
    <w:rsid w:val="00F4385A"/>
    <w:rsid w:val="00F438F4"/>
    <w:rsid w:val="00F43B1F"/>
    <w:rsid w:val="00F4405F"/>
    <w:rsid w:val="00F4419F"/>
    <w:rsid w:val="00F44C43"/>
    <w:rsid w:val="00F45321"/>
    <w:rsid w:val="00F4549B"/>
    <w:rsid w:val="00F45BFC"/>
    <w:rsid w:val="00F45F5E"/>
    <w:rsid w:val="00F4606C"/>
    <w:rsid w:val="00F46097"/>
    <w:rsid w:val="00F461AE"/>
    <w:rsid w:val="00F4647E"/>
    <w:rsid w:val="00F467F1"/>
    <w:rsid w:val="00F4689A"/>
    <w:rsid w:val="00F46A3B"/>
    <w:rsid w:val="00F46D22"/>
    <w:rsid w:val="00F471EB"/>
    <w:rsid w:val="00F4749B"/>
    <w:rsid w:val="00F47524"/>
    <w:rsid w:val="00F478CB"/>
    <w:rsid w:val="00F47C79"/>
    <w:rsid w:val="00F47E5F"/>
    <w:rsid w:val="00F47F4E"/>
    <w:rsid w:val="00F501BA"/>
    <w:rsid w:val="00F5089F"/>
    <w:rsid w:val="00F50C11"/>
    <w:rsid w:val="00F50C4C"/>
    <w:rsid w:val="00F50C83"/>
    <w:rsid w:val="00F50CA4"/>
    <w:rsid w:val="00F50DDF"/>
    <w:rsid w:val="00F5154E"/>
    <w:rsid w:val="00F51802"/>
    <w:rsid w:val="00F51862"/>
    <w:rsid w:val="00F51C23"/>
    <w:rsid w:val="00F52278"/>
    <w:rsid w:val="00F525D6"/>
    <w:rsid w:val="00F53700"/>
    <w:rsid w:val="00F53ECC"/>
    <w:rsid w:val="00F540A1"/>
    <w:rsid w:val="00F542BE"/>
    <w:rsid w:val="00F54788"/>
    <w:rsid w:val="00F547A7"/>
    <w:rsid w:val="00F54976"/>
    <w:rsid w:val="00F54B37"/>
    <w:rsid w:val="00F5500A"/>
    <w:rsid w:val="00F55370"/>
    <w:rsid w:val="00F55595"/>
    <w:rsid w:val="00F55B1C"/>
    <w:rsid w:val="00F55E13"/>
    <w:rsid w:val="00F56733"/>
    <w:rsid w:val="00F5693F"/>
    <w:rsid w:val="00F56C59"/>
    <w:rsid w:val="00F5702A"/>
    <w:rsid w:val="00F57867"/>
    <w:rsid w:val="00F57D87"/>
    <w:rsid w:val="00F57FBD"/>
    <w:rsid w:val="00F608EA"/>
    <w:rsid w:val="00F60E68"/>
    <w:rsid w:val="00F6116C"/>
    <w:rsid w:val="00F61612"/>
    <w:rsid w:val="00F61BC1"/>
    <w:rsid w:val="00F61D35"/>
    <w:rsid w:val="00F62580"/>
    <w:rsid w:val="00F6259F"/>
    <w:rsid w:val="00F625A3"/>
    <w:rsid w:val="00F62607"/>
    <w:rsid w:val="00F6286B"/>
    <w:rsid w:val="00F6289C"/>
    <w:rsid w:val="00F62C33"/>
    <w:rsid w:val="00F62DC1"/>
    <w:rsid w:val="00F63577"/>
    <w:rsid w:val="00F63C36"/>
    <w:rsid w:val="00F63D1D"/>
    <w:rsid w:val="00F64205"/>
    <w:rsid w:val="00F64312"/>
    <w:rsid w:val="00F645AF"/>
    <w:rsid w:val="00F64764"/>
    <w:rsid w:val="00F64B09"/>
    <w:rsid w:val="00F64EE4"/>
    <w:rsid w:val="00F65104"/>
    <w:rsid w:val="00F651EA"/>
    <w:rsid w:val="00F663BC"/>
    <w:rsid w:val="00F6684A"/>
    <w:rsid w:val="00F66C0C"/>
    <w:rsid w:val="00F676D3"/>
    <w:rsid w:val="00F6771F"/>
    <w:rsid w:val="00F701C9"/>
    <w:rsid w:val="00F705DB"/>
    <w:rsid w:val="00F712B2"/>
    <w:rsid w:val="00F71653"/>
    <w:rsid w:val="00F71A3C"/>
    <w:rsid w:val="00F71B5C"/>
    <w:rsid w:val="00F71D30"/>
    <w:rsid w:val="00F71E26"/>
    <w:rsid w:val="00F71E43"/>
    <w:rsid w:val="00F71FE3"/>
    <w:rsid w:val="00F72290"/>
    <w:rsid w:val="00F73446"/>
    <w:rsid w:val="00F73671"/>
    <w:rsid w:val="00F74014"/>
    <w:rsid w:val="00F742DE"/>
    <w:rsid w:val="00F7461D"/>
    <w:rsid w:val="00F74792"/>
    <w:rsid w:val="00F74D87"/>
    <w:rsid w:val="00F754F7"/>
    <w:rsid w:val="00F75526"/>
    <w:rsid w:val="00F75AC3"/>
    <w:rsid w:val="00F75DCC"/>
    <w:rsid w:val="00F75DD6"/>
    <w:rsid w:val="00F75F8A"/>
    <w:rsid w:val="00F76728"/>
    <w:rsid w:val="00F769B4"/>
    <w:rsid w:val="00F76E2F"/>
    <w:rsid w:val="00F77049"/>
    <w:rsid w:val="00F77450"/>
    <w:rsid w:val="00F77F74"/>
    <w:rsid w:val="00F800B3"/>
    <w:rsid w:val="00F80299"/>
    <w:rsid w:val="00F80685"/>
    <w:rsid w:val="00F81516"/>
    <w:rsid w:val="00F81539"/>
    <w:rsid w:val="00F8168E"/>
    <w:rsid w:val="00F81991"/>
    <w:rsid w:val="00F81A0D"/>
    <w:rsid w:val="00F81C66"/>
    <w:rsid w:val="00F81FBF"/>
    <w:rsid w:val="00F82386"/>
    <w:rsid w:val="00F825F8"/>
    <w:rsid w:val="00F82AE3"/>
    <w:rsid w:val="00F83E14"/>
    <w:rsid w:val="00F83E6D"/>
    <w:rsid w:val="00F840E4"/>
    <w:rsid w:val="00F842D7"/>
    <w:rsid w:val="00F844E0"/>
    <w:rsid w:val="00F84565"/>
    <w:rsid w:val="00F845C7"/>
    <w:rsid w:val="00F84BC7"/>
    <w:rsid w:val="00F85127"/>
    <w:rsid w:val="00F854AD"/>
    <w:rsid w:val="00F857C0"/>
    <w:rsid w:val="00F858AC"/>
    <w:rsid w:val="00F86109"/>
    <w:rsid w:val="00F8662A"/>
    <w:rsid w:val="00F8674C"/>
    <w:rsid w:val="00F867C0"/>
    <w:rsid w:val="00F86812"/>
    <w:rsid w:val="00F86AEB"/>
    <w:rsid w:val="00F86CC8"/>
    <w:rsid w:val="00F87001"/>
    <w:rsid w:val="00F87713"/>
    <w:rsid w:val="00F8798E"/>
    <w:rsid w:val="00F87F87"/>
    <w:rsid w:val="00F90805"/>
    <w:rsid w:val="00F9148A"/>
    <w:rsid w:val="00F91490"/>
    <w:rsid w:val="00F91598"/>
    <w:rsid w:val="00F9168B"/>
    <w:rsid w:val="00F9198E"/>
    <w:rsid w:val="00F91FF2"/>
    <w:rsid w:val="00F92110"/>
    <w:rsid w:val="00F92235"/>
    <w:rsid w:val="00F9223A"/>
    <w:rsid w:val="00F922B3"/>
    <w:rsid w:val="00F92495"/>
    <w:rsid w:val="00F924D5"/>
    <w:rsid w:val="00F92865"/>
    <w:rsid w:val="00F92C8C"/>
    <w:rsid w:val="00F92DD4"/>
    <w:rsid w:val="00F9323D"/>
    <w:rsid w:val="00F932A0"/>
    <w:rsid w:val="00F93590"/>
    <w:rsid w:val="00F939AA"/>
    <w:rsid w:val="00F93D09"/>
    <w:rsid w:val="00F94506"/>
    <w:rsid w:val="00F94594"/>
    <w:rsid w:val="00F94816"/>
    <w:rsid w:val="00F95715"/>
    <w:rsid w:val="00F95A5D"/>
    <w:rsid w:val="00F95B22"/>
    <w:rsid w:val="00F963AF"/>
    <w:rsid w:val="00F96750"/>
    <w:rsid w:val="00F96FE1"/>
    <w:rsid w:val="00F972D7"/>
    <w:rsid w:val="00F97336"/>
    <w:rsid w:val="00F973EC"/>
    <w:rsid w:val="00F97757"/>
    <w:rsid w:val="00F97BF2"/>
    <w:rsid w:val="00F97DD4"/>
    <w:rsid w:val="00F97EBC"/>
    <w:rsid w:val="00F97F61"/>
    <w:rsid w:val="00FA04FC"/>
    <w:rsid w:val="00FA06B5"/>
    <w:rsid w:val="00FA0F27"/>
    <w:rsid w:val="00FA12CF"/>
    <w:rsid w:val="00FA1474"/>
    <w:rsid w:val="00FA18C4"/>
    <w:rsid w:val="00FA24BB"/>
    <w:rsid w:val="00FA2A3D"/>
    <w:rsid w:val="00FA2E74"/>
    <w:rsid w:val="00FA3545"/>
    <w:rsid w:val="00FA35A4"/>
    <w:rsid w:val="00FA42F1"/>
    <w:rsid w:val="00FA45D1"/>
    <w:rsid w:val="00FA4662"/>
    <w:rsid w:val="00FA4DA9"/>
    <w:rsid w:val="00FA4E51"/>
    <w:rsid w:val="00FA4ED2"/>
    <w:rsid w:val="00FA530D"/>
    <w:rsid w:val="00FA54A0"/>
    <w:rsid w:val="00FA5626"/>
    <w:rsid w:val="00FA56A6"/>
    <w:rsid w:val="00FA5FB4"/>
    <w:rsid w:val="00FA607B"/>
    <w:rsid w:val="00FA649E"/>
    <w:rsid w:val="00FA64C7"/>
    <w:rsid w:val="00FA67FA"/>
    <w:rsid w:val="00FA6995"/>
    <w:rsid w:val="00FA6A2B"/>
    <w:rsid w:val="00FA7060"/>
    <w:rsid w:val="00FA736B"/>
    <w:rsid w:val="00FA74F0"/>
    <w:rsid w:val="00FA7A05"/>
    <w:rsid w:val="00FA7CC3"/>
    <w:rsid w:val="00FB04A9"/>
    <w:rsid w:val="00FB0663"/>
    <w:rsid w:val="00FB0869"/>
    <w:rsid w:val="00FB0E8D"/>
    <w:rsid w:val="00FB0F47"/>
    <w:rsid w:val="00FB1290"/>
    <w:rsid w:val="00FB160B"/>
    <w:rsid w:val="00FB187A"/>
    <w:rsid w:val="00FB1B95"/>
    <w:rsid w:val="00FB1EA9"/>
    <w:rsid w:val="00FB22FF"/>
    <w:rsid w:val="00FB2484"/>
    <w:rsid w:val="00FB2567"/>
    <w:rsid w:val="00FB27DC"/>
    <w:rsid w:val="00FB333C"/>
    <w:rsid w:val="00FB3559"/>
    <w:rsid w:val="00FB35E5"/>
    <w:rsid w:val="00FB408F"/>
    <w:rsid w:val="00FB424E"/>
    <w:rsid w:val="00FB45BF"/>
    <w:rsid w:val="00FB484C"/>
    <w:rsid w:val="00FB4897"/>
    <w:rsid w:val="00FB4993"/>
    <w:rsid w:val="00FB584C"/>
    <w:rsid w:val="00FB5C5D"/>
    <w:rsid w:val="00FB5CB3"/>
    <w:rsid w:val="00FB607F"/>
    <w:rsid w:val="00FB64E8"/>
    <w:rsid w:val="00FB650E"/>
    <w:rsid w:val="00FB6816"/>
    <w:rsid w:val="00FB6896"/>
    <w:rsid w:val="00FB69E0"/>
    <w:rsid w:val="00FB7D96"/>
    <w:rsid w:val="00FB7E17"/>
    <w:rsid w:val="00FB7F76"/>
    <w:rsid w:val="00FC00FA"/>
    <w:rsid w:val="00FC04F2"/>
    <w:rsid w:val="00FC1471"/>
    <w:rsid w:val="00FC14D2"/>
    <w:rsid w:val="00FC17C0"/>
    <w:rsid w:val="00FC1820"/>
    <w:rsid w:val="00FC1C19"/>
    <w:rsid w:val="00FC1C54"/>
    <w:rsid w:val="00FC1CF7"/>
    <w:rsid w:val="00FC2D0C"/>
    <w:rsid w:val="00FC2F96"/>
    <w:rsid w:val="00FC3788"/>
    <w:rsid w:val="00FC3B1E"/>
    <w:rsid w:val="00FC4464"/>
    <w:rsid w:val="00FC4498"/>
    <w:rsid w:val="00FC498F"/>
    <w:rsid w:val="00FC5A34"/>
    <w:rsid w:val="00FC5C3C"/>
    <w:rsid w:val="00FC5D4A"/>
    <w:rsid w:val="00FC60FC"/>
    <w:rsid w:val="00FC6896"/>
    <w:rsid w:val="00FC6AD4"/>
    <w:rsid w:val="00FC6E1C"/>
    <w:rsid w:val="00FC6F59"/>
    <w:rsid w:val="00FC73CA"/>
    <w:rsid w:val="00FC73E0"/>
    <w:rsid w:val="00FC74C8"/>
    <w:rsid w:val="00FC7E63"/>
    <w:rsid w:val="00FC7E87"/>
    <w:rsid w:val="00FD042D"/>
    <w:rsid w:val="00FD04F9"/>
    <w:rsid w:val="00FD057E"/>
    <w:rsid w:val="00FD09A0"/>
    <w:rsid w:val="00FD0AC1"/>
    <w:rsid w:val="00FD0EF6"/>
    <w:rsid w:val="00FD162D"/>
    <w:rsid w:val="00FD189D"/>
    <w:rsid w:val="00FD1C3E"/>
    <w:rsid w:val="00FD2409"/>
    <w:rsid w:val="00FD2EB7"/>
    <w:rsid w:val="00FD2F61"/>
    <w:rsid w:val="00FD337D"/>
    <w:rsid w:val="00FD3A92"/>
    <w:rsid w:val="00FD3C1D"/>
    <w:rsid w:val="00FD3D4B"/>
    <w:rsid w:val="00FD3DB0"/>
    <w:rsid w:val="00FD3DC4"/>
    <w:rsid w:val="00FD43EC"/>
    <w:rsid w:val="00FD45A8"/>
    <w:rsid w:val="00FD4802"/>
    <w:rsid w:val="00FD4C30"/>
    <w:rsid w:val="00FD4D25"/>
    <w:rsid w:val="00FD56B8"/>
    <w:rsid w:val="00FD5896"/>
    <w:rsid w:val="00FD58D4"/>
    <w:rsid w:val="00FD5918"/>
    <w:rsid w:val="00FD5B49"/>
    <w:rsid w:val="00FD5D6A"/>
    <w:rsid w:val="00FD5E95"/>
    <w:rsid w:val="00FD6070"/>
    <w:rsid w:val="00FD6C42"/>
    <w:rsid w:val="00FD6F78"/>
    <w:rsid w:val="00FD71D9"/>
    <w:rsid w:val="00FD7232"/>
    <w:rsid w:val="00FD777A"/>
    <w:rsid w:val="00FD7806"/>
    <w:rsid w:val="00FE0058"/>
    <w:rsid w:val="00FE0942"/>
    <w:rsid w:val="00FE0C6D"/>
    <w:rsid w:val="00FE10E4"/>
    <w:rsid w:val="00FE128E"/>
    <w:rsid w:val="00FE1574"/>
    <w:rsid w:val="00FE18BA"/>
    <w:rsid w:val="00FE1A9A"/>
    <w:rsid w:val="00FE1EC7"/>
    <w:rsid w:val="00FE2599"/>
    <w:rsid w:val="00FE25B5"/>
    <w:rsid w:val="00FE25BE"/>
    <w:rsid w:val="00FE317B"/>
    <w:rsid w:val="00FE37FB"/>
    <w:rsid w:val="00FE3DE0"/>
    <w:rsid w:val="00FE3E31"/>
    <w:rsid w:val="00FE401C"/>
    <w:rsid w:val="00FE4109"/>
    <w:rsid w:val="00FE457A"/>
    <w:rsid w:val="00FE4A2A"/>
    <w:rsid w:val="00FE4B5B"/>
    <w:rsid w:val="00FE4DD0"/>
    <w:rsid w:val="00FE50C7"/>
    <w:rsid w:val="00FE5600"/>
    <w:rsid w:val="00FE5C79"/>
    <w:rsid w:val="00FE5DEA"/>
    <w:rsid w:val="00FE5EC8"/>
    <w:rsid w:val="00FE68A1"/>
    <w:rsid w:val="00FE6CB4"/>
    <w:rsid w:val="00FE6FE2"/>
    <w:rsid w:val="00FE702D"/>
    <w:rsid w:val="00FE71E5"/>
    <w:rsid w:val="00FE72FC"/>
    <w:rsid w:val="00FE76F0"/>
    <w:rsid w:val="00FE7FF2"/>
    <w:rsid w:val="00FF0535"/>
    <w:rsid w:val="00FF08C4"/>
    <w:rsid w:val="00FF1891"/>
    <w:rsid w:val="00FF19D0"/>
    <w:rsid w:val="00FF1AA3"/>
    <w:rsid w:val="00FF1F4C"/>
    <w:rsid w:val="00FF23C2"/>
    <w:rsid w:val="00FF23EB"/>
    <w:rsid w:val="00FF2F9B"/>
    <w:rsid w:val="00FF3A24"/>
    <w:rsid w:val="00FF3DD9"/>
    <w:rsid w:val="00FF3F85"/>
    <w:rsid w:val="00FF4B38"/>
    <w:rsid w:val="00FF4BB0"/>
    <w:rsid w:val="00FF4EA1"/>
    <w:rsid w:val="00FF4F57"/>
    <w:rsid w:val="00FF5222"/>
    <w:rsid w:val="00FF58E5"/>
    <w:rsid w:val="00FF5C28"/>
    <w:rsid w:val="00FF5FEC"/>
    <w:rsid w:val="00FF62DB"/>
    <w:rsid w:val="00FF65CD"/>
    <w:rsid w:val="00FF66A5"/>
    <w:rsid w:val="00FF684E"/>
    <w:rsid w:val="00FF6B72"/>
    <w:rsid w:val="00FF6DC2"/>
    <w:rsid w:val="00FF7065"/>
    <w:rsid w:val="00FF7267"/>
    <w:rsid w:val="00FF7275"/>
    <w:rsid w:val="00FF7938"/>
    <w:rsid w:val="00FF7B76"/>
    <w:rsid w:val="00FF7BA8"/>
    <w:rsid w:val="00FF7C6A"/>
    <w:rsid w:val="00FF7F9D"/>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365"/>
    <w:pPr>
      <w:spacing w:line="360" w:lineRule="auto"/>
      <w:jc w:val="both"/>
    </w:pPr>
    <w:rPr>
      <w:rFonts w:ascii="Times New Roman" w:hAnsi="Times New Roman"/>
      <w:sz w:val="24"/>
      <w:szCs w:val="22"/>
      <w:lang w:val="en-IN"/>
    </w:rPr>
  </w:style>
  <w:style w:type="paragraph" w:styleId="Heading1">
    <w:name w:val="heading 1"/>
    <w:basedOn w:val="Normal"/>
    <w:next w:val="Normal"/>
    <w:link w:val="Heading1Char"/>
    <w:uiPriority w:val="9"/>
    <w:qFormat/>
    <w:rsid w:val="00782438"/>
    <w:pPr>
      <w:keepNext/>
      <w:numPr>
        <w:numId w:val="9"/>
      </w:numPr>
      <w:pBdr>
        <w:bottom w:val="single" w:sz="4" w:space="1" w:color="auto"/>
      </w:pBdr>
      <w:spacing w:before="240" w:after="60" w:line="240" w:lineRule="auto"/>
      <w:outlineLvl w:val="0"/>
    </w:pPr>
    <w:rPr>
      <w:rFonts w:eastAsia="Times New Roman"/>
      <w:b/>
      <w:bCs/>
      <w:kern w:val="32"/>
      <w:sz w:val="28"/>
      <w:szCs w:val="32"/>
      <w:lang w:val="en-GB"/>
    </w:rPr>
  </w:style>
  <w:style w:type="paragraph" w:styleId="Heading2">
    <w:name w:val="heading 2"/>
    <w:basedOn w:val="Normal"/>
    <w:next w:val="Normal"/>
    <w:link w:val="Heading2Char"/>
    <w:uiPriority w:val="9"/>
    <w:unhideWhenUsed/>
    <w:qFormat/>
    <w:rsid w:val="001A7877"/>
    <w:pPr>
      <w:widowControl w:val="0"/>
      <w:numPr>
        <w:ilvl w:val="1"/>
        <w:numId w:val="9"/>
      </w:numPr>
      <w:ind w:left="578" w:hanging="578"/>
      <w:outlineLvl w:val="1"/>
    </w:pPr>
    <w:rPr>
      <w:rFonts w:eastAsia="Times New Roman"/>
      <w:bCs/>
      <w:iCs/>
      <w:szCs w:val="28"/>
      <w:lang w:val="en-GB"/>
    </w:rPr>
  </w:style>
  <w:style w:type="paragraph" w:styleId="Heading3">
    <w:name w:val="heading 3"/>
    <w:basedOn w:val="Normal"/>
    <w:next w:val="Normal"/>
    <w:link w:val="Heading3Char"/>
    <w:uiPriority w:val="9"/>
    <w:unhideWhenUsed/>
    <w:qFormat/>
    <w:rsid w:val="005E2A7F"/>
    <w:pPr>
      <w:keepNext/>
      <w:numPr>
        <w:ilvl w:val="2"/>
        <w:numId w:val="9"/>
      </w:numPr>
      <w:spacing w:before="240" w:after="60"/>
      <w:outlineLvl w:val="2"/>
    </w:pPr>
    <w:rPr>
      <w:rFonts w:ascii="Book Antiqua" w:eastAsia="Times New Roman" w:hAnsi="Book Antiqua"/>
      <w:bCs/>
      <w:szCs w:val="26"/>
      <w:lang w:val="en-GB"/>
    </w:rPr>
  </w:style>
  <w:style w:type="paragraph" w:styleId="Heading4">
    <w:name w:val="heading 4"/>
    <w:basedOn w:val="Heading2"/>
    <w:next w:val="Normal"/>
    <w:link w:val="Heading4Char"/>
    <w:uiPriority w:val="9"/>
    <w:unhideWhenUsed/>
    <w:qFormat/>
    <w:rsid w:val="00461AEF"/>
    <w:pPr>
      <w:numPr>
        <w:ilvl w:val="3"/>
      </w:numPr>
      <w:outlineLvl w:val="3"/>
    </w:pPr>
  </w:style>
  <w:style w:type="paragraph" w:styleId="Heading5">
    <w:name w:val="heading 5"/>
    <w:basedOn w:val="Normal"/>
    <w:next w:val="Normal"/>
    <w:link w:val="Heading5Char"/>
    <w:uiPriority w:val="9"/>
    <w:unhideWhenUsed/>
    <w:qFormat/>
    <w:rsid w:val="00025FBC"/>
    <w:pPr>
      <w:keepNext/>
      <w:keepLines/>
      <w:numPr>
        <w:ilvl w:val="4"/>
        <w:numId w:val="9"/>
      </w:numPr>
      <w:spacing w:before="200"/>
      <w:outlineLvl w:val="4"/>
    </w:pPr>
    <w:rPr>
      <w:rFonts w:ascii="Cambria" w:eastAsia="Times New Roman" w:hAnsi="Cambria"/>
      <w:color w:val="243F60"/>
      <w:lang w:val="en-US"/>
    </w:rPr>
  </w:style>
  <w:style w:type="paragraph" w:styleId="Heading6">
    <w:name w:val="heading 6"/>
    <w:basedOn w:val="Normal"/>
    <w:next w:val="Normal"/>
    <w:link w:val="Heading6Char"/>
    <w:uiPriority w:val="9"/>
    <w:unhideWhenUsed/>
    <w:qFormat/>
    <w:rsid w:val="00025FBC"/>
    <w:pPr>
      <w:keepNext/>
      <w:keepLines/>
      <w:numPr>
        <w:ilvl w:val="5"/>
        <w:numId w:val="9"/>
      </w:numPr>
      <w:spacing w:before="200"/>
      <w:outlineLvl w:val="5"/>
    </w:pPr>
    <w:rPr>
      <w:rFonts w:ascii="Cambria" w:eastAsia="Times New Roman" w:hAnsi="Cambria"/>
      <w:i/>
      <w:iCs/>
      <w:color w:val="243F60"/>
      <w:lang w:val="en-US"/>
    </w:rPr>
  </w:style>
  <w:style w:type="paragraph" w:styleId="Heading7">
    <w:name w:val="heading 7"/>
    <w:basedOn w:val="Normal"/>
    <w:next w:val="Normal"/>
    <w:link w:val="Heading7Char"/>
    <w:uiPriority w:val="9"/>
    <w:semiHidden/>
    <w:unhideWhenUsed/>
    <w:qFormat/>
    <w:rsid w:val="00025FBC"/>
    <w:pPr>
      <w:keepNext/>
      <w:keepLines/>
      <w:numPr>
        <w:ilvl w:val="6"/>
        <w:numId w:val="9"/>
      </w:numPr>
      <w:spacing w:before="200"/>
      <w:outlineLvl w:val="6"/>
    </w:pPr>
    <w:rPr>
      <w:rFonts w:ascii="Cambria" w:eastAsia="Times New Roman" w:hAnsi="Cambria"/>
      <w:i/>
      <w:iCs/>
      <w:color w:val="404040"/>
      <w:lang w:val="en-US"/>
    </w:rPr>
  </w:style>
  <w:style w:type="paragraph" w:styleId="Heading8">
    <w:name w:val="heading 8"/>
    <w:basedOn w:val="Normal"/>
    <w:next w:val="Normal"/>
    <w:link w:val="Heading8Char"/>
    <w:uiPriority w:val="9"/>
    <w:semiHidden/>
    <w:unhideWhenUsed/>
    <w:qFormat/>
    <w:rsid w:val="00025FBC"/>
    <w:pPr>
      <w:keepNext/>
      <w:keepLines/>
      <w:numPr>
        <w:ilvl w:val="7"/>
        <w:numId w:val="9"/>
      </w:numPr>
      <w:spacing w:before="200"/>
      <w:outlineLvl w:val="7"/>
    </w:pPr>
    <w:rPr>
      <w:rFonts w:ascii="Cambria" w:eastAsia="Times New Roman" w:hAnsi="Cambria"/>
      <w:color w:val="404040"/>
      <w:sz w:val="20"/>
      <w:szCs w:val="20"/>
      <w:lang w:val="en-US"/>
    </w:rPr>
  </w:style>
  <w:style w:type="paragraph" w:styleId="Heading9">
    <w:name w:val="heading 9"/>
    <w:basedOn w:val="Normal"/>
    <w:next w:val="Normal"/>
    <w:link w:val="Heading9Char"/>
    <w:uiPriority w:val="9"/>
    <w:semiHidden/>
    <w:unhideWhenUsed/>
    <w:qFormat/>
    <w:rsid w:val="00025FBC"/>
    <w:pPr>
      <w:keepNext/>
      <w:numPr>
        <w:ilvl w:val="8"/>
        <w:numId w:val="9"/>
      </w:numPr>
      <w:shd w:val="pct25" w:color="auto" w:fill="auto"/>
      <w:outlineLvl w:val="8"/>
    </w:pPr>
    <w:rPr>
      <w:rFonts w:ascii="Book Antiqua" w:eastAsia="Times New Roman" w:hAnsi="Book Antiqua"/>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5A73"/>
    <w:rPr>
      <w:rFonts w:ascii="Times New Roman" w:eastAsia="Times New Roman" w:hAnsi="Times New Roman"/>
      <w:b/>
      <w:bCs/>
      <w:kern w:val="32"/>
      <w:sz w:val="28"/>
      <w:szCs w:val="32"/>
      <w:lang w:val="en-GB"/>
    </w:rPr>
  </w:style>
  <w:style w:type="character" w:customStyle="1" w:styleId="Heading2Char">
    <w:name w:val="Heading 2 Char"/>
    <w:basedOn w:val="DefaultParagraphFont"/>
    <w:link w:val="Heading2"/>
    <w:uiPriority w:val="9"/>
    <w:rsid w:val="001A7877"/>
    <w:rPr>
      <w:rFonts w:ascii="Times New Roman" w:eastAsia="Times New Roman" w:hAnsi="Times New Roman"/>
      <w:bCs/>
      <w:iCs/>
      <w:sz w:val="24"/>
      <w:szCs w:val="28"/>
      <w:lang w:val="en-GB"/>
    </w:rPr>
  </w:style>
  <w:style w:type="character" w:customStyle="1" w:styleId="Heading3Char">
    <w:name w:val="Heading 3 Char"/>
    <w:basedOn w:val="DefaultParagraphFont"/>
    <w:link w:val="Heading3"/>
    <w:uiPriority w:val="9"/>
    <w:rsid w:val="005E2A7F"/>
    <w:rPr>
      <w:rFonts w:ascii="Book Antiqua" w:eastAsia="Times New Roman" w:hAnsi="Book Antiqua"/>
      <w:bCs/>
      <w:sz w:val="24"/>
      <w:szCs w:val="26"/>
      <w:lang w:val="en-GB"/>
    </w:rPr>
  </w:style>
  <w:style w:type="character" w:customStyle="1" w:styleId="Heading4Char">
    <w:name w:val="Heading 4 Char"/>
    <w:basedOn w:val="DefaultParagraphFont"/>
    <w:link w:val="Heading4"/>
    <w:uiPriority w:val="9"/>
    <w:rsid w:val="00461AEF"/>
    <w:rPr>
      <w:rFonts w:ascii="Times New Roman" w:eastAsia="Times New Roman" w:hAnsi="Times New Roman"/>
      <w:bCs/>
      <w:iCs/>
      <w:sz w:val="24"/>
      <w:szCs w:val="28"/>
      <w:lang w:val="en-GB"/>
    </w:rPr>
  </w:style>
  <w:style w:type="character" w:customStyle="1" w:styleId="Heading5Char">
    <w:name w:val="Heading 5 Char"/>
    <w:basedOn w:val="DefaultParagraphFont"/>
    <w:link w:val="Heading5"/>
    <w:uiPriority w:val="9"/>
    <w:rsid w:val="00025FBC"/>
    <w:rPr>
      <w:rFonts w:ascii="Cambria" w:eastAsia="Times New Roman" w:hAnsi="Cambria"/>
      <w:color w:val="243F60"/>
      <w:sz w:val="24"/>
      <w:szCs w:val="22"/>
    </w:rPr>
  </w:style>
  <w:style w:type="character" w:customStyle="1" w:styleId="Heading6Char">
    <w:name w:val="Heading 6 Char"/>
    <w:basedOn w:val="DefaultParagraphFont"/>
    <w:link w:val="Heading6"/>
    <w:uiPriority w:val="9"/>
    <w:rsid w:val="00025FBC"/>
    <w:rPr>
      <w:rFonts w:ascii="Cambria" w:eastAsia="Times New Roman" w:hAnsi="Cambria"/>
      <w:i/>
      <w:iCs/>
      <w:color w:val="243F60"/>
      <w:sz w:val="24"/>
      <w:szCs w:val="22"/>
    </w:rPr>
  </w:style>
  <w:style w:type="character" w:customStyle="1" w:styleId="Heading7Char">
    <w:name w:val="Heading 7 Char"/>
    <w:basedOn w:val="DefaultParagraphFont"/>
    <w:link w:val="Heading7"/>
    <w:uiPriority w:val="9"/>
    <w:semiHidden/>
    <w:rsid w:val="00025FBC"/>
    <w:rPr>
      <w:rFonts w:ascii="Cambria" w:eastAsia="Times New Roman" w:hAnsi="Cambria"/>
      <w:i/>
      <w:iCs/>
      <w:color w:val="404040"/>
      <w:sz w:val="24"/>
      <w:szCs w:val="22"/>
    </w:rPr>
  </w:style>
  <w:style w:type="character" w:customStyle="1" w:styleId="Heading8Char">
    <w:name w:val="Heading 8 Char"/>
    <w:basedOn w:val="DefaultParagraphFont"/>
    <w:link w:val="Heading8"/>
    <w:uiPriority w:val="9"/>
    <w:semiHidden/>
    <w:rsid w:val="00025FBC"/>
    <w:rPr>
      <w:rFonts w:ascii="Cambria" w:eastAsia="Times New Roman" w:hAnsi="Cambria"/>
      <w:color w:val="404040"/>
    </w:rPr>
  </w:style>
  <w:style w:type="character" w:customStyle="1" w:styleId="Heading9Char">
    <w:name w:val="Heading 9 Char"/>
    <w:basedOn w:val="DefaultParagraphFont"/>
    <w:link w:val="Heading9"/>
    <w:uiPriority w:val="9"/>
    <w:semiHidden/>
    <w:rsid w:val="00025FBC"/>
    <w:rPr>
      <w:rFonts w:ascii="Book Antiqua" w:eastAsia="Times New Roman" w:hAnsi="Book Antiqua"/>
      <w:b/>
      <w:bCs/>
      <w:shd w:val="pct25" w:color="auto" w:fill="auto"/>
      <w:lang w:val="en-GB"/>
    </w:rPr>
  </w:style>
  <w:style w:type="paragraph" w:styleId="ListParagraph">
    <w:name w:val="List Paragraph"/>
    <w:basedOn w:val="Heading4"/>
    <w:link w:val="ListParagraphChar"/>
    <w:uiPriority w:val="34"/>
    <w:qFormat/>
    <w:rsid w:val="00461AEF"/>
  </w:style>
  <w:style w:type="paragraph" w:styleId="BalloonText">
    <w:name w:val="Balloon Text"/>
    <w:basedOn w:val="Normal"/>
    <w:link w:val="BalloonTextChar"/>
    <w:uiPriority w:val="99"/>
    <w:semiHidden/>
    <w:unhideWhenUsed/>
    <w:rsid w:val="00956C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6C52"/>
    <w:rPr>
      <w:rFonts w:ascii="Tahoma" w:hAnsi="Tahoma" w:cs="Tahoma"/>
      <w:sz w:val="16"/>
      <w:szCs w:val="16"/>
    </w:rPr>
  </w:style>
  <w:style w:type="table" w:styleId="TableGrid">
    <w:name w:val="Table Grid"/>
    <w:basedOn w:val="TableNormal"/>
    <w:uiPriority w:val="39"/>
    <w:rsid w:val="003A0D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D2BCA"/>
    <w:pPr>
      <w:tabs>
        <w:tab w:val="center" w:pos="4513"/>
        <w:tab w:val="right" w:pos="9026"/>
      </w:tabs>
      <w:spacing w:line="240" w:lineRule="auto"/>
    </w:pPr>
  </w:style>
  <w:style w:type="character" w:customStyle="1" w:styleId="HeaderChar">
    <w:name w:val="Header Char"/>
    <w:basedOn w:val="DefaultParagraphFont"/>
    <w:link w:val="Header"/>
    <w:uiPriority w:val="99"/>
    <w:rsid w:val="005D2BCA"/>
  </w:style>
  <w:style w:type="paragraph" w:styleId="Footer">
    <w:name w:val="footer"/>
    <w:basedOn w:val="Normal"/>
    <w:link w:val="FooterChar"/>
    <w:uiPriority w:val="99"/>
    <w:unhideWhenUsed/>
    <w:rsid w:val="005D2BCA"/>
    <w:pPr>
      <w:tabs>
        <w:tab w:val="center" w:pos="4513"/>
        <w:tab w:val="right" w:pos="9026"/>
      </w:tabs>
      <w:spacing w:line="240" w:lineRule="auto"/>
    </w:pPr>
  </w:style>
  <w:style w:type="character" w:customStyle="1" w:styleId="FooterChar">
    <w:name w:val="Footer Char"/>
    <w:basedOn w:val="DefaultParagraphFont"/>
    <w:link w:val="Footer"/>
    <w:uiPriority w:val="99"/>
    <w:rsid w:val="005D2BCA"/>
  </w:style>
  <w:style w:type="character" w:styleId="CommentReference">
    <w:name w:val="annotation reference"/>
    <w:basedOn w:val="DefaultParagraphFont"/>
    <w:uiPriority w:val="99"/>
    <w:semiHidden/>
    <w:unhideWhenUsed/>
    <w:rsid w:val="009E4412"/>
    <w:rPr>
      <w:sz w:val="16"/>
      <w:szCs w:val="16"/>
    </w:rPr>
  </w:style>
  <w:style w:type="paragraph" w:styleId="CommentText">
    <w:name w:val="annotation text"/>
    <w:basedOn w:val="Normal"/>
    <w:link w:val="CommentTextChar"/>
    <w:uiPriority w:val="99"/>
    <w:unhideWhenUsed/>
    <w:rsid w:val="009E4412"/>
    <w:pPr>
      <w:spacing w:line="240" w:lineRule="auto"/>
    </w:pPr>
    <w:rPr>
      <w:sz w:val="20"/>
      <w:szCs w:val="20"/>
    </w:rPr>
  </w:style>
  <w:style w:type="character" w:customStyle="1" w:styleId="CommentTextChar">
    <w:name w:val="Comment Text Char"/>
    <w:basedOn w:val="DefaultParagraphFont"/>
    <w:link w:val="CommentText"/>
    <w:uiPriority w:val="99"/>
    <w:rsid w:val="009E4412"/>
    <w:rPr>
      <w:sz w:val="20"/>
      <w:szCs w:val="20"/>
    </w:rPr>
  </w:style>
  <w:style w:type="paragraph" w:styleId="CommentSubject">
    <w:name w:val="annotation subject"/>
    <w:basedOn w:val="CommentText"/>
    <w:next w:val="CommentText"/>
    <w:link w:val="CommentSubjectChar"/>
    <w:uiPriority w:val="99"/>
    <w:semiHidden/>
    <w:unhideWhenUsed/>
    <w:rsid w:val="009E4412"/>
    <w:rPr>
      <w:b/>
      <w:bCs/>
    </w:rPr>
  </w:style>
  <w:style w:type="character" w:customStyle="1" w:styleId="CommentSubjectChar">
    <w:name w:val="Comment Subject Char"/>
    <w:basedOn w:val="CommentTextChar"/>
    <w:link w:val="CommentSubject"/>
    <w:uiPriority w:val="99"/>
    <w:semiHidden/>
    <w:rsid w:val="009E4412"/>
    <w:rPr>
      <w:b/>
      <w:bCs/>
      <w:sz w:val="20"/>
      <w:szCs w:val="20"/>
    </w:rPr>
  </w:style>
  <w:style w:type="paragraph" w:styleId="Caption">
    <w:name w:val="caption"/>
    <w:basedOn w:val="Normal"/>
    <w:next w:val="Normal"/>
    <w:uiPriority w:val="35"/>
    <w:unhideWhenUsed/>
    <w:qFormat/>
    <w:rsid w:val="00F54B37"/>
    <w:pPr>
      <w:spacing w:line="240" w:lineRule="auto"/>
    </w:pPr>
    <w:rPr>
      <w:b/>
      <w:bCs/>
      <w:color w:val="4F81BD"/>
      <w:sz w:val="18"/>
      <w:szCs w:val="18"/>
    </w:rPr>
  </w:style>
  <w:style w:type="paragraph" w:styleId="Revision">
    <w:name w:val="Revision"/>
    <w:hidden/>
    <w:uiPriority w:val="99"/>
    <w:semiHidden/>
    <w:rsid w:val="008D71DB"/>
    <w:rPr>
      <w:sz w:val="22"/>
      <w:szCs w:val="22"/>
      <w:lang w:val="en-IN"/>
    </w:rPr>
  </w:style>
  <w:style w:type="paragraph" w:styleId="TOCHeading">
    <w:name w:val="TOC Heading"/>
    <w:basedOn w:val="Heading1"/>
    <w:next w:val="Normal"/>
    <w:uiPriority w:val="39"/>
    <w:unhideWhenUsed/>
    <w:qFormat/>
    <w:rsid w:val="006B1F30"/>
    <w:pPr>
      <w:keepLines/>
      <w:spacing w:before="480" w:after="0" w:line="276" w:lineRule="auto"/>
      <w:outlineLvl w:val="9"/>
    </w:pPr>
    <w:rPr>
      <w:rFonts w:ascii="Cambria" w:hAnsi="Cambria"/>
      <w:color w:val="365F91"/>
      <w:kern w:val="0"/>
      <w:szCs w:val="28"/>
      <w:lang w:val="en-US"/>
    </w:rPr>
  </w:style>
  <w:style w:type="paragraph" w:styleId="TOC1">
    <w:name w:val="toc 1"/>
    <w:basedOn w:val="Normal"/>
    <w:next w:val="Normal"/>
    <w:autoRedefine/>
    <w:uiPriority w:val="39"/>
    <w:unhideWhenUsed/>
    <w:rsid w:val="00CF542A"/>
    <w:pPr>
      <w:tabs>
        <w:tab w:val="left" w:pos="390"/>
        <w:tab w:val="right" w:pos="9182"/>
      </w:tabs>
      <w:spacing w:before="360" w:after="360"/>
    </w:pPr>
    <w:rPr>
      <w:bCs/>
      <w:sz w:val="22"/>
    </w:rPr>
  </w:style>
  <w:style w:type="paragraph" w:styleId="TOC2">
    <w:name w:val="toc 2"/>
    <w:basedOn w:val="Normal"/>
    <w:next w:val="Normal"/>
    <w:autoRedefine/>
    <w:uiPriority w:val="39"/>
    <w:unhideWhenUsed/>
    <w:rsid w:val="00365BDA"/>
    <w:rPr>
      <w:rFonts w:asciiTheme="minorHAnsi" w:hAnsiTheme="minorHAnsi"/>
      <w:b/>
      <w:bCs/>
      <w:smallCaps/>
      <w:sz w:val="22"/>
    </w:rPr>
  </w:style>
  <w:style w:type="paragraph" w:styleId="TOC3">
    <w:name w:val="toc 3"/>
    <w:basedOn w:val="Normal"/>
    <w:next w:val="Normal"/>
    <w:autoRedefine/>
    <w:uiPriority w:val="39"/>
    <w:unhideWhenUsed/>
    <w:rsid w:val="009144D7"/>
    <w:rPr>
      <w:rFonts w:asciiTheme="minorHAnsi" w:hAnsiTheme="minorHAnsi"/>
      <w:smallCaps/>
      <w:sz w:val="22"/>
    </w:rPr>
  </w:style>
  <w:style w:type="character" w:styleId="Hyperlink">
    <w:name w:val="Hyperlink"/>
    <w:basedOn w:val="DefaultParagraphFont"/>
    <w:uiPriority w:val="99"/>
    <w:unhideWhenUsed/>
    <w:rsid w:val="006B1F30"/>
    <w:rPr>
      <w:color w:val="0000FF"/>
      <w:u w:val="single"/>
    </w:rPr>
  </w:style>
  <w:style w:type="character" w:customStyle="1" w:styleId="DeltaViewInsertion">
    <w:name w:val="DeltaView Insertion"/>
    <w:uiPriority w:val="99"/>
    <w:rsid w:val="008C3BA4"/>
    <w:rPr>
      <w:color w:val="0000FF"/>
      <w:spacing w:val="0"/>
      <w:u w:val="double"/>
    </w:rPr>
  </w:style>
  <w:style w:type="paragraph" w:styleId="BodyText2">
    <w:name w:val="Body Text 2"/>
    <w:basedOn w:val="Normal"/>
    <w:link w:val="BodyText2Char"/>
    <w:uiPriority w:val="99"/>
    <w:rsid w:val="006F7154"/>
    <w:pPr>
      <w:spacing w:line="240" w:lineRule="auto"/>
    </w:pPr>
    <w:rPr>
      <w:rFonts w:ascii="TimesNewRoman" w:eastAsia="Times New Roman" w:hAnsi="TimesNewRoman" w:cs="TimesNewRoman"/>
      <w:b/>
      <w:bCs/>
      <w:i/>
      <w:iCs/>
      <w:szCs w:val="24"/>
      <w:lang w:val="en-US"/>
    </w:rPr>
  </w:style>
  <w:style w:type="character" w:customStyle="1" w:styleId="BodyText2Char">
    <w:name w:val="Body Text 2 Char"/>
    <w:basedOn w:val="DefaultParagraphFont"/>
    <w:link w:val="BodyText2"/>
    <w:uiPriority w:val="99"/>
    <w:rsid w:val="006F7154"/>
    <w:rPr>
      <w:rFonts w:ascii="TimesNewRoman" w:eastAsia="Times New Roman" w:hAnsi="TimesNewRoman" w:cs="TimesNewRoman"/>
      <w:b/>
      <w:bCs/>
      <w:i/>
      <w:iCs/>
      <w:sz w:val="24"/>
      <w:szCs w:val="24"/>
    </w:rPr>
  </w:style>
  <w:style w:type="numbering" w:customStyle="1" w:styleId="Style1">
    <w:name w:val="Style1"/>
    <w:uiPriority w:val="99"/>
    <w:rsid w:val="00585947"/>
    <w:pPr>
      <w:numPr>
        <w:numId w:val="1"/>
      </w:numPr>
    </w:pPr>
  </w:style>
  <w:style w:type="numbering" w:customStyle="1" w:styleId="StyleVD">
    <w:name w:val="Style VD"/>
    <w:uiPriority w:val="99"/>
    <w:rsid w:val="00585947"/>
    <w:pPr>
      <w:numPr>
        <w:numId w:val="2"/>
      </w:numPr>
    </w:pPr>
  </w:style>
  <w:style w:type="paragraph" w:styleId="NoSpacing">
    <w:name w:val="No Spacing"/>
    <w:basedOn w:val="Normal"/>
    <w:uiPriority w:val="1"/>
    <w:qFormat/>
    <w:rsid w:val="00673571"/>
    <w:pPr>
      <w:widowControl w:val="0"/>
      <w:spacing w:line="240" w:lineRule="auto"/>
    </w:pPr>
    <w:rPr>
      <w:szCs w:val="24"/>
      <w:lang w:val="en-US"/>
    </w:rPr>
  </w:style>
  <w:style w:type="paragraph" w:styleId="TOC4">
    <w:name w:val="toc 4"/>
    <w:basedOn w:val="Normal"/>
    <w:next w:val="Normal"/>
    <w:autoRedefine/>
    <w:uiPriority w:val="39"/>
    <w:unhideWhenUsed/>
    <w:rsid w:val="00EC3B75"/>
    <w:rPr>
      <w:rFonts w:asciiTheme="minorHAnsi" w:hAnsiTheme="minorHAnsi"/>
      <w:sz w:val="22"/>
    </w:rPr>
  </w:style>
  <w:style w:type="paragraph" w:styleId="TOC5">
    <w:name w:val="toc 5"/>
    <w:basedOn w:val="Normal"/>
    <w:next w:val="Normal"/>
    <w:autoRedefine/>
    <w:uiPriority w:val="39"/>
    <w:unhideWhenUsed/>
    <w:rsid w:val="00EC3B75"/>
    <w:rPr>
      <w:rFonts w:asciiTheme="minorHAnsi" w:hAnsiTheme="minorHAnsi"/>
      <w:sz w:val="22"/>
    </w:rPr>
  </w:style>
  <w:style w:type="paragraph" w:styleId="TOC6">
    <w:name w:val="toc 6"/>
    <w:basedOn w:val="Normal"/>
    <w:next w:val="Normal"/>
    <w:autoRedefine/>
    <w:uiPriority w:val="39"/>
    <w:unhideWhenUsed/>
    <w:rsid w:val="00EC3B75"/>
    <w:rPr>
      <w:rFonts w:asciiTheme="minorHAnsi" w:hAnsiTheme="minorHAnsi"/>
      <w:sz w:val="22"/>
    </w:rPr>
  </w:style>
  <w:style w:type="paragraph" w:styleId="TOC7">
    <w:name w:val="toc 7"/>
    <w:basedOn w:val="Normal"/>
    <w:next w:val="Normal"/>
    <w:autoRedefine/>
    <w:uiPriority w:val="39"/>
    <w:unhideWhenUsed/>
    <w:rsid w:val="00EC3B75"/>
    <w:rPr>
      <w:rFonts w:asciiTheme="minorHAnsi" w:hAnsiTheme="minorHAnsi"/>
      <w:sz w:val="22"/>
    </w:rPr>
  </w:style>
  <w:style w:type="paragraph" w:styleId="TOC8">
    <w:name w:val="toc 8"/>
    <w:basedOn w:val="Normal"/>
    <w:next w:val="Normal"/>
    <w:autoRedefine/>
    <w:uiPriority w:val="39"/>
    <w:unhideWhenUsed/>
    <w:rsid w:val="00EC3B75"/>
    <w:rPr>
      <w:rFonts w:asciiTheme="minorHAnsi" w:hAnsiTheme="minorHAnsi"/>
      <w:sz w:val="22"/>
    </w:rPr>
  </w:style>
  <w:style w:type="paragraph" w:styleId="TOC9">
    <w:name w:val="toc 9"/>
    <w:basedOn w:val="Normal"/>
    <w:next w:val="Normal"/>
    <w:autoRedefine/>
    <w:uiPriority w:val="39"/>
    <w:unhideWhenUsed/>
    <w:rsid w:val="00EC3B75"/>
    <w:rPr>
      <w:rFonts w:asciiTheme="minorHAnsi" w:hAnsiTheme="minorHAnsi"/>
      <w:sz w:val="22"/>
    </w:rPr>
  </w:style>
  <w:style w:type="paragraph" w:customStyle="1" w:styleId="Default">
    <w:name w:val="Default"/>
    <w:rsid w:val="008C6069"/>
    <w:pPr>
      <w:autoSpaceDE w:val="0"/>
      <w:autoSpaceDN w:val="0"/>
      <w:adjustRightInd w:val="0"/>
    </w:pPr>
    <w:rPr>
      <w:rFonts w:cs="Calibri"/>
      <w:color w:val="000000"/>
      <w:sz w:val="24"/>
      <w:szCs w:val="24"/>
    </w:rPr>
  </w:style>
  <w:style w:type="numbering" w:customStyle="1" w:styleId="Style2">
    <w:name w:val="Style2"/>
    <w:uiPriority w:val="99"/>
    <w:rsid w:val="00FC6896"/>
    <w:pPr>
      <w:numPr>
        <w:numId w:val="5"/>
      </w:numPr>
    </w:pPr>
  </w:style>
  <w:style w:type="paragraph" w:customStyle="1" w:styleId="Verbatium">
    <w:name w:val="Verbatium"/>
    <w:basedOn w:val="ListParagraph"/>
    <w:link w:val="VerbatiumChar"/>
    <w:qFormat/>
    <w:rsid w:val="00FB04A9"/>
    <w:pPr>
      <w:numPr>
        <w:ilvl w:val="0"/>
        <w:numId w:val="0"/>
      </w:numPr>
      <w:ind w:left="1440"/>
    </w:pPr>
    <w:rPr>
      <w:i/>
      <w:sz w:val="23"/>
      <w:szCs w:val="23"/>
      <w:lang w:val="en-US"/>
    </w:rPr>
  </w:style>
  <w:style w:type="character" w:customStyle="1" w:styleId="ListParagraphChar">
    <w:name w:val="List Paragraph Char"/>
    <w:basedOn w:val="Heading4Char"/>
    <w:link w:val="ListParagraph"/>
    <w:uiPriority w:val="99"/>
    <w:rsid w:val="00FB04A9"/>
    <w:rPr>
      <w:rFonts w:ascii="Times New Roman" w:eastAsia="Times New Roman" w:hAnsi="Times New Roman"/>
      <w:bCs/>
      <w:iCs/>
      <w:sz w:val="24"/>
      <w:szCs w:val="28"/>
      <w:lang w:val="en-GB"/>
    </w:rPr>
  </w:style>
  <w:style w:type="character" w:customStyle="1" w:styleId="VerbatiumChar">
    <w:name w:val="Verbatium Char"/>
    <w:basedOn w:val="ListParagraphChar"/>
    <w:link w:val="Verbatium"/>
    <w:rsid w:val="00FB04A9"/>
    <w:rPr>
      <w:rFonts w:ascii="Times New Roman" w:eastAsia="Times New Roman" w:hAnsi="Times New Roman"/>
      <w:bCs/>
      <w:iCs/>
      <w:sz w:val="24"/>
      <w:szCs w:val="28"/>
      <w:lang w:val="en-GB"/>
    </w:rPr>
  </w:style>
  <w:style w:type="paragraph" w:customStyle="1" w:styleId="Style3">
    <w:name w:val="Style3"/>
    <w:basedOn w:val="Normal"/>
    <w:link w:val="Style3Char"/>
    <w:rsid w:val="00AD18E4"/>
  </w:style>
  <w:style w:type="character" w:customStyle="1" w:styleId="Style3Char">
    <w:name w:val="Style3 Char"/>
    <w:basedOn w:val="DefaultParagraphFont"/>
    <w:link w:val="Style3"/>
    <w:rsid w:val="00AD18E4"/>
    <w:rPr>
      <w:sz w:val="22"/>
      <w:szCs w:val="22"/>
      <w:lang w:val="en-IN"/>
    </w:rPr>
  </w:style>
  <w:style w:type="paragraph" w:customStyle="1" w:styleId="Level3forPetition">
    <w:name w:val="Level 3 for Petition"/>
    <w:basedOn w:val="Normal"/>
    <w:link w:val="Level3forPetitionChar"/>
    <w:qFormat/>
    <w:rsid w:val="00D72E0B"/>
    <w:pPr>
      <w:widowControl w:val="0"/>
      <w:tabs>
        <w:tab w:val="left" w:pos="1080"/>
        <w:tab w:val="left" w:pos="2304"/>
      </w:tabs>
      <w:spacing w:after="288" w:line="240" w:lineRule="auto"/>
    </w:pPr>
    <w:rPr>
      <w:rFonts w:eastAsia="Times New Roman"/>
      <w:kern w:val="28"/>
      <w:szCs w:val="20"/>
      <w:lang w:val="en-US"/>
    </w:rPr>
  </w:style>
  <w:style w:type="character" w:customStyle="1" w:styleId="Level3forPetitionChar">
    <w:name w:val="Level 3 for Petition Char"/>
    <w:basedOn w:val="DefaultParagraphFont"/>
    <w:link w:val="Level3forPetition"/>
    <w:rsid w:val="00D72E0B"/>
    <w:rPr>
      <w:rFonts w:ascii="Times New Roman" w:eastAsia="Times New Roman" w:hAnsi="Times New Roman"/>
      <w:kern w:val="28"/>
      <w:sz w:val="24"/>
    </w:rPr>
  </w:style>
  <w:style w:type="paragraph" w:customStyle="1" w:styleId="Style6">
    <w:name w:val="Style6"/>
    <w:basedOn w:val="Heading2"/>
    <w:next w:val="Heading2"/>
    <w:uiPriority w:val="99"/>
    <w:qFormat/>
    <w:rsid w:val="00D72E0B"/>
    <w:pPr>
      <w:numPr>
        <w:numId w:val="24"/>
      </w:numPr>
      <w:tabs>
        <w:tab w:val="left" w:pos="720"/>
        <w:tab w:val="left" w:pos="1080"/>
        <w:tab w:val="left" w:pos="2304"/>
      </w:tabs>
      <w:spacing w:after="288" w:line="240" w:lineRule="auto"/>
    </w:pPr>
    <w:rPr>
      <w:bCs w:val="0"/>
      <w:iCs w:val="0"/>
      <w:kern w:val="28"/>
      <w:sz w:val="28"/>
      <w:szCs w:val="20"/>
      <w:lang w:val="en-US"/>
    </w:rPr>
  </w:style>
  <w:style w:type="character" w:styleId="Emphasis">
    <w:name w:val="Emphasis"/>
    <w:basedOn w:val="DefaultParagraphFont"/>
    <w:uiPriority w:val="20"/>
    <w:qFormat/>
    <w:rsid w:val="00C44F59"/>
    <w:rPr>
      <w:i/>
      <w:iCs/>
    </w:rPr>
  </w:style>
  <w:style w:type="paragraph" w:customStyle="1" w:styleId="Numbering">
    <w:name w:val="Numbering"/>
    <w:basedOn w:val="Heading2"/>
    <w:link w:val="NumberingChar"/>
    <w:qFormat/>
    <w:rsid w:val="00C44F59"/>
    <w:pPr>
      <w:numPr>
        <w:ilvl w:val="0"/>
        <w:numId w:val="27"/>
      </w:numPr>
      <w:ind w:left="993"/>
    </w:pPr>
    <w:rPr>
      <w:szCs w:val="24"/>
    </w:rPr>
  </w:style>
  <w:style w:type="character" w:customStyle="1" w:styleId="NumberingChar">
    <w:name w:val="Numbering Char"/>
    <w:basedOn w:val="Heading2Char"/>
    <w:link w:val="Numbering"/>
    <w:rsid w:val="00C44F59"/>
    <w:rPr>
      <w:rFonts w:ascii="Times New Roman" w:eastAsia="Times New Roman" w:hAnsi="Times New Roman"/>
      <w:bCs/>
      <w:iCs/>
      <w:sz w:val="24"/>
      <w:szCs w:val="24"/>
      <w:lang w:val="en-GB"/>
    </w:rPr>
  </w:style>
  <w:style w:type="paragraph" w:styleId="TableofFigures">
    <w:name w:val="table of figures"/>
    <w:basedOn w:val="Normal"/>
    <w:next w:val="Normal"/>
    <w:uiPriority w:val="99"/>
    <w:unhideWhenUsed/>
    <w:rsid w:val="006E2188"/>
    <w:rPr>
      <w:sz w:val="22"/>
    </w:rPr>
  </w:style>
</w:styles>
</file>

<file path=word/webSettings.xml><?xml version="1.0" encoding="utf-8"?>
<w:webSettings xmlns:r="http://schemas.openxmlformats.org/officeDocument/2006/relationships" xmlns:w="http://schemas.openxmlformats.org/wordprocessingml/2006/main">
  <w:divs>
    <w:div w:id="3557655">
      <w:bodyDiv w:val="1"/>
      <w:marLeft w:val="0"/>
      <w:marRight w:val="0"/>
      <w:marTop w:val="0"/>
      <w:marBottom w:val="0"/>
      <w:divBdr>
        <w:top w:val="none" w:sz="0" w:space="0" w:color="auto"/>
        <w:left w:val="none" w:sz="0" w:space="0" w:color="auto"/>
        <w:bottom w:val="none" w:sz="0" w:space="0" w:color="auto"/>
        <w:right w:val="none" w:sz="0" w:space="0" w:color="auto"/>
      </w:divBdr>
    </w:div>
    <w:div w:id="15425465">
      <w:bodyDiv w:val="1"/>
      <w:marLeft w:val="0"/>
      <w:marRight w:val="0"/>
      <w:marTop w:val="0"/>
      <w:marBottom w:val="0"/>
      <w:divBdr>
        <w:top w:val="none" w:sz="0" w:space="0" w:color="auto"/>
        <w:left w:val="none" w:sz="0" w:space="0" w:color="auto"/>
        <w:bottom w:val="none" w:sz="0" w:space="0" w:color="auto"/>
        <w:right w:val="none" w:sz="0" w:space="0" w:color="auto"/>
      </w:divBdr>
    </w:div>
    <w:div w:id="19362192">
      <w:bodyDiv w:val="1"/>
      <w:marLeft w:val="0"/>
      <w:marRight w:val="0"/>
      <w:marTop w:val="0"/>
      <w:marBottom w:val="0"/>
      <w:divBdr>
        <w:top w:val="none" w:sz="0" w:space="0" w:color="auto"/>
        <w:left w:val="none" w:sz="0" w:space="0" w:color="auto"/>
        <w:bottom w:val="none" w:sz="0" w:space="0" w:color="auto"/>
        <w:right w:val="none" w:sz="0" w:space="0" w:color="auto"/>
      </w:divBdr>
    </w:div>
    <w:div w:id="34545767">
      <w:bodyDiv w:val="1"/>
      <w:marLeft w:val="0"/>
      <w:marRight w:val="0"/>
      <w:marTop w:val="0"/>
      <w:marBottom w:val="0"/>
      <w:divBdr>
        <w:top w:val="none" w:sz="0" w:space="0" w:color="auto"/>
        <w:left w:val="none" w:sz="0" w:space="0" w:color="auto"/>
        <w:bottom w:val="none" w:sz="0" w:space="0" w:color="auto"/>
        <w:right w:val="none" w:sz="0" w:space="0" w:color="auto"/>
      </w:divBdr>
    </w:div>
    <w:div w:id="35663884">
      <w:bodyDiv w:val="1"/>
      <w:marLeft w:val="0"/>
      <w:marRight w:val="0"/>
      <w:marTop w:val="0"/>
      <w:marBottom w:val="0"/>
      <w:divBdr>
        <w:top w:val="none" w:sz="0" w:space="0" w:color="auto"/>
        <w:left w:val="none" w:sz="0" w:space="0" w:color="auto"/>
        <w:bottom w:val="none" w:sz="0" w:space="0" w:color="auto"/>
        <w:right w:val="none" w:sz="0" w:space="0" w:color="auto"/>
      </w:divBdr>
    </w:div>
    <w:div w:id="37753002">
      <w:bodyDiv w:val="1"/>
      <w:marLeft w:val="0"/>
      <w:marRight w:val="0"/>
      <w:marTop w:val="0"/>
      <w:marBottom w:val="0"/>
      <w:divBdr>
        <w:top w:val="none" w:sz="0" w:space="0" w:color="auto"/>
        <w:left w:val="none" w:sz="0" w:space="0" w:color="auto"/>
        <w:bottom w:val="none" w:sz="0" w:space="0" w:color="auto"/>
        <w:right w:val="none" w:sz="0" w:space="0" w:color="auto"/>
      </w:divBdr>
    </w:div>
    <w:div w:id="62916153">
      <w:bodyDiv w:val="1"/>
      <w:marLeft w:val="0"/>
      <w:marRight w:val="0"/>
      <w:marTop w:val="0"/>
      <w:marBottom w:val="0"/>
      <w:divBdr>
        <w:top w:val="none" w:sz="0" w:space="0" w:color="auto"/>
        <w:left w:val="none" w:sz="0" w:space="0" w:color="auto"/>
        <w:bottom w:val="none" w:sz="0" w:space="0" w:color="auto"/>
        <w:right w:val="none" w:sz="0" w:space="0" w:color="auto"/>
      </w:divBdr>
    </w:div>
    <w:div w:id="68307923">
      <w:bodyDiv w:val="1"/>
      <w:marLeft w:val="0"/>
      <w:marRight w:val="0"/>
      <w:marTop w:val="0"/>
      <w:marBottom w:val="0"/>
      <w:divBdr>
        <w:top w:val="none" w:sz="0" w:space="0" w:color="auto"/>
        <w:left w:val="none" w:sz="0" w:space="0" w:color="auto"/>
        <w:bottom w:val="none" w:sz="0" w:space="0" w:color="auto"/>
        <w:right w:val="none" w:sz="0" w:space="0" w:color="auto"/>
      </w:divBdr>
    </w:div>
    <w:div w:id="73431315">
      <w:bodyDiv w:val="1"/>
      <w:marLeft w:val="0"/>
      <w:marRight w:val="0"/>
      <w:marTop w:val="0"/>
      <w:marBottom w:val="0"/>
      <w:divBdr>
        <w:top w:val="none" w:sz="0" w:space="0" w:color="auto"/>
        <w:left w:val="none" w:sz="0" w:space="0" w:color="auto"/>
        <w:bottom w:val="none" w:sz="0" w:space="0" w:color="auto"/>
        <w:right w:val="none" w:sz="0" w:space="0" w:color="auto"/>
      </w:divBdr>
    </w:div>
    <w:div w:id="73937515">
      <w:bodyDiv w:val="1"/>
      <w:marLeft w:val="0"/>
      <w:marRight w:val="0"/>
      <w:marTop w:val="0"/>
      <w:marBottom w:val="0"/>
      <w:divBdr>
        <w:top w:val="none" w:sz="0" w:space="0" w:color="auto"/>
        <w:left w:val="none" w:sz="0" w:space="0" w:color="auto"/>
        <w:bottom w:val="none" w:sz="0" w:space="0" w:color="auto"/>
        <w:right w:val="none" w:sz="0" w:space="0" w:color="auto"/>
      </w:divBdr>
    </w:div>
    <w:div w:id="74789375">
      <w:bodyDiv w:val="1"/>
      <w:marLeft w:val="0"/>
      <w:marRight w:val="0"/>
      <w:marTop w:val="0"/>
      <w:marBottom w:val="0"/>
      <w:divBdr>
        <w:top w:val="none" w:sz="0" w:space="0" w:color="auto"/>
        <w:left w:val="none" w:sz="0" w:space="0" w:color="auto"/>
        <w:bottom w:val="none" w:sz="0" w:space="0" w:color="auto"/>
        <w:right w:val="none" w:sz="0" w:space="0" w:color="auto"/>
      </w:divBdr>
    </w:div>
    <w:div w:id="75782892">
      <w:bodyDiv w:val="1"/>
      <w:marLeft w:val="0"/>
      <w:marRight w:val="0"/>
      <w:marTop w:val="0"/>
      <w:marBottom w:val="0"/>
      <w:divBdr>
        <w:top w:val="none" w:sz="0" w:space="0" w:color="auto"/>
        <w:left w:val="none" w:sz="0" w:space="0" w:color="auto"/>
        <w:bottom w:val="none" w:sz="0" w:space="0" w:color="auto"/>
        <w:right w:val="none" w:sz="0" w:space="0" w:color="auto"/>
      </w:divBdr>
    </w:div>
    <w:div w:id="77404040">
      <w:bodyDiv w:val="1"/>
      <w:marLeft w:val="0"/>
      <w:marRight w:val="0"/>
      <w:marTop w:val="0"/>
      <w:marBottom w:val="0"/>
      <w:divBdr>
        <w:top w:val="none" w:sz="0" w:space="0" w:color="auto"/>
        <w:left w:val="none" w:sz="0" w:space="0" w:color="auto"/>
        <w:bottom w:val="none" w:sz="0" w:space="0" w:color="auto"/>
        <w:right w:val="none" w:sz="0" w:space="0" w:color="auto"/>
      </w:divBdr>
    </w:div>
    <w:div w:id="77677444">
      <w:bodyDiv w:val="1"/>
      <w:marLeft w:val="0"/>
      <w:marRight w:val="0"/>
      <w:marTop w:val="0"/>
      <w:marBottom w:val="0"/>
      <w:divBdr>
        <w:top w:val="none" w:sz="0" w:space="0" w:color="auto"/>
        <w:left w:val="none" w:sz="0" w:space="0" w:color="auto"/>
        <w:bottom w:val="none" w:sz="0" w:space="0" w:color="auto"/>
        <w:right w:val="none" w:sz="0" w:space="0" w:color="auto"/>
      </w:divBdr>
    </w:div>
    <w:div w:id="83452468">
      <w:bodyDiv w:val="1"/>
      <w:marLeft w:val="0"/>
      <w:marRight w:val="0"/>
      <w:marTop w:val="0"/>
      <w:marBottom w:val="0"/>
      <w:divBdr>
        <w:top w:val="none" w:sz="0" w:space="0" w:color="auto"/>
        <w:left w:val="none" w:sz="0" w:space="0" w:color="auto"/>
        <w:bottom w:val="none" w:sz="0" w:space="0" w:color="auto"/>
        <w:right w:val="none" w:sz="0" w:space="0" w:color="auto"/>
      </w:divBdr>
    </w:div>
    <w:div w:id="87623554">
      <w:bodyDiv w:val="1"/>
      <w:marLeft w:val="0"/>
      <w:marRight w:val="0"/>
      <w:marTop w:val="0"/>
      <w:marBottom w:val="0"/>
      <w:divBdr>
        <w:top w:val="none" w:sz="0" w:space="0" w:color="auto"/>
        <w:left w:val="none" w:sz="0" w:space="0" w:color="auto"/>
        <w:bottom w:val="none" w:sz="0" w:space="0" w:color="auto"/>
        <w:right w:val="none" w:sz="0" w:space="0" w:color="auto"/>
      </w:divBdr>
      <w:divsChild>
        <w:div w:id="1823808572">
          <w:marLeft w:val="360"/>
          <w:marRight w:val="0"/>
          <w:marTop w:val="82"/>
          <w:marBottom w:val="0"/>
          <w:divBdr>
            <w:top w:val="none" w:sz="0" w:space="0" w:color="auto"/>
            <w:left w:val="none" w:sz="0" w:space="0" w:color="auto"/>
            <w:bottom w:val="none" w:sz="0" w:space="0" w:color="auto"/>
            <w:right w:val="none" w:sz="0" w:space="0" w:color="auto"/>
          </w:divBdr>
        </w:div>
        <w:div w:id="2067534492">
          <w:marLeft w:val="360"/>
          <w:marRight w:val="0"/>
          <w:marTop w:val="82"/>
          <w:marBottom w:val="0"/>
          <w:divBdr>
            <w:top w:val="none" w:sz="0" w:space="0" w:color="auto"/>
            <w:left w:val="none" w:sz="0" w:space="0" w:color="auto"/>
            <w:bottom w:val="none" w:sz="0" w:space="0" w:color="auto"/>
            <w:right w:val="none" w:sz="0" w:space="0" w:color="auto"/>
          </w:divBdr>
        </w:div>
      </w:divsChild>
    </w:div>
    <w:div w:id="109978902">
      <w:bodyDiv w:val="1"/>
      <w:marLeft w:val="0"/>
      <w:marRight w:val="0"/>
      <w:marTop w:val="0"/>
      <w:marBottom w:val="0"/>
      <w:divBdr>
        <w:top w:val="none" w:sz="0" w:space="0" w:color="auto"/>
        <w:left w:val="none" w:sz="0" w:space="0" w:color="auto"/>
        <w:bottom w:val="none" w:sz="0" w:space="0" w:color="auto"/>
        <w:right w:val="none" w:sz="0" w:space="0" w:color="auto"/>
      </w:divBdr>
    </w:div>
    <w:div w:id="113210688">
      <w:bodyDiv w:val="1"/>
      <w:marLeft w:val="0"/>
      <w:marRight w:val="0"/>
      <w:marTop w:val="0"/>
      <w:marBottom w:val="0"/>
      <w:divBdr>
        <w:top w:val="none" w:sz="0" w:space="0" w:color="auto"/>
        <w:left w:val="none" w:sz="0" w:space="0" w:color="auto"/>
        <w:bottom w:val="none" w:sz="0" w:space="0" w:color="auto"/>
        <w:right w:val="none" w:sz="0" w:space="0" w:color="auto"/>
      </w:divBdr>
    </w:div>
    <w:div w:id="121118629">
      <w:bodyDiv w:val="1"/>
      <w:marLeft w:val="0"/>
      <w:marRight w:val="0"/>
      <w:marTop w:val="0"/>
      <w:marBottom w:val="0"/>
      <w:divBdr>
        <w:top w:val="none" w:sz="0" w:space="0" w:color="auto"/>
        <w:left w:val="none" w:sz="0" w:space="0" w:color="auto"/>
        <w:bottom w:val="none" w:sz="0" w:space="0" w:color="auto"/>
        <w:right w:val="none" w:sz="0" w:space="0" w:color="auto"/>
      </w:divBdr>
    </w:div>
    <w:div w:id="123891585">
      <w:bodyDiv w:val="1"/>
      <w:marLeft w:val="0"/>
      <w:marRight w:val="0"/>
      <w:marTop w:val="0"/>
      <w:marBottom w:val="0"/>
      <w:divBdr>
        <w:top w:val="none" w:sz="0" w:space="0" w:color="auto"/>
        <w:left w:val="none" w:sz="0" w:space="0" w:color="auto"/>
        <w:bottom w:val="none" w:sz="0" w:space="0" w:color="auto"/>
        <w:right w:val="none" w:sz="0" w:space="0" w:color="auto"/>
      </w:divBdr>
    </w:div>
    <w:div w:id="131601668">
      <w:bodyDiv w:val="1"/>
      <w:marLeft w:val="0"/>
      <w:marRight w:val="0"/>
      <w:marTop w:val="0"/>
      <w:marBottom w:val="0"/>
      <w:divBdr>
        <w:top w:val="none" w:sz="0" w:space="0" w:color="auto"/>
        <w:left w:val="none" w:sz="0" w:space="0" w:color="auto"/>
        <w:bottom w:val="none" w:sz="0" w:space="0" w:color="auto"/>
        <w:right w:val="none" w:sz="0" w:space="0" w:color="auto"/>
      </w:divBdr>
    </w:div>
    <w:div w:id="134296256">
      <w:bodyDiv w:val="1"/>
      <w:marLeft w:val="0"/>
      <w:marRight w:val="0"/>
      <w:marTop w:val="0"/>
      <w:marBottom w:val="0"/>
      <w:divBdr>
        <w:top w:val="none" w:sz="0" w:space="0" w:color="auto"/>
        <w:left w:val="none" w:sz="0" w:space="0" w:color="auto"/>
        <w:bottom w:val="none" w:sz="0" w:space="0" w:color="auto"/>
        <w:right w:val="none" w:sz="0" w:space="0" w:color="auto"/>
      </w:divBdr>
    </w:div>
    <w:div w:id="141043096">
      <w:bodyDiv w:val="1"/>
      <w:marLeft w:val="0"/>
      <w:marRight w:val="0"/>
      <w:marTop w:val="0"/>
      <w:marBottom w:val="0"/>
      <w:divBdr>
        <w:top w:val="none" w:sz="0" w:space="0" w:color="auto"/>
        <w:left w:val="none" w:sz="0" w:space="0" w:color="auto"/>
        <w:bottom w:val="none" w:sz="0" w:space="0" w:color="auto"/>
        <w:right w:val="none" w:sz="0" w:space="0" w:color="auto"/>
      </w:divBdr>
    </w:div>
    <w:div w:id="141387111">
      <w:bodyDiv w:val="1"/>
      <w:marLeft w:val="0"/>
      <w:marRight w:val="0"/>
      <w:marTop w:val="0"/>
      <w:marBottom w:val="0"/>
      <w:divBdr>
        <w:top w:val="none" w:sz="0" w:space="0" w:color="auto"/>
        <w:left w:val="none" w:sz="0" w:space="0" w:color="auto"/>
        <w:bottom w:val="none" w:sz="0" w:space="0" w:color="auto"/>
        <w:right w:val="none" w:sz="0" w:space="0" w:color="auto"/>
      </w:divBdr>
    </w:div>
    <w:div w:id="146475937">
      <w:bodyDiv w:val="1"/>
      <w:marLeft w:val="0"/>
      <w:marRight w:val="0"/>
      <w:marTop w:val="0"/>
      <w:marBottom w:val="0"/>
      <w:divBdr>
        <w:top w:val="none" w:sz="0" w:space="0" w:color="auto"/>
        <w:left w:val="none" w:sz="0" w:space="0" w:color="auto"/>
        <w:bottom w:val="none" w:sz="0" w:space="0" w:color="auto"/>
        <w:right w:val="none" w:sz="0" w:space="0" w:color="auto"/>
      </w:divBdr>
    </w:div>
    <w:div w:id="150948161">
      <w:bodyDiv w:val="1"/>
      <w:marLeft w:val="0"/>
      <w:marRight w:val="0"/>
      <w:marTop w:val="0"/>
      <w:marBottom w:val="0"/>
      <w:divBdr>
        <w:top w:val="none" w:sz="0" w:space="0" w:color="auto"/>
        <w:left w:val="none" w:sz="0" w:space="0" w:color="auto"/>
        <w:bottom w:val="none" w:sz="0" w:space="0" w:color="auto"/>
        <w:right w:val="none" w:sz="0" w:space="0" w:color="auto"/>
      </w:divBdr>
    </w:div>
    <w:div w:id="182017234">
      <w:bodyDiv w:val="1"/>
      <w:marLeft w:val="0"/>
      <w:marRight w:val="0"/>
      <w:marTop w:val="0"/>
      <w:marBottom w:val="0"/>
      <w:divBdr>
        <w:top w:val="none" w:sz="0" w:space="0" w:color="auto"/>
        <w:left w:val="none" w:sz="0" w:space="0" w:color="auto"/>
        <w:bottom w:val="none" w:sz="0" w:space="0" w:color="auto"/>
        <w:right w:val="none" w:sz="0" w:space="0" w:color="auto"/>
      </w:divBdr>
    </w:div>
    <w:div w:id="190385606">
      <w:bodyDiv w:val="1"/>
      <w:marLeft w:val="0"/>
      <w:marRight w:val="0"/>
      <w:marTop w:val="0"/>
      <w:marBottom w:val="0"/>
      <w:divBdr>
        <w:top w:val="none" w:sz="0" w:space="0" w:color="auto"/>
        <w:left w:val="none" w:sz="0" w:space="0" w:color="auto"/>
        <w:bottom w:val="none" w:sz="0" w:space="0" w:color="auto"/>
        <w:right w:val="none" w:sz="0" w:space="0" w:color="auto"/>
      </w:divBdr>
    </w:div>
    <w:div w:id="191654761">
      <w:bodyDiv w:val="1"/>
      <w:marLeft w:val="0"/>
      <w:marRight w:val="0"/>
      <w:marTop w:val="0"/>
      <w:marBottom w:val="0"/>
      <w:divBdr>
        <w:top w:val="none" w:sz="0" w:space="0" w:color="auto"/>
        <w:left w:val="none" w:sz="0" w:space="0" w:color="auto"/>
        <w:bottom w:val="none" w:sz="0" w:space="0" w:color="auto"/>
        <w:right w:val="none" w:sz="0" w:space="0" w:color="auto"/>
      </w:divBdr>
    </w:div>
    <w:div w:id="192302815">
      <w:bodyDiv w:val="1"/>
      <w:marLeft w:val="0"/>
      <w:marRight w:val="0"/>
      <w:marTop w:val="0"/>
      <w:marBottom w:val="0"/>
      <w:divBdr>
        <w:top w:val="none" w:sz="0" w:space="0" w:color="auto"/>
        <w:left w:val="none" w:sz="0" w:space="0" w:color="auto"/>
        <w:bottom w:val="none" w:sz="0" w:space="0" w:color="auto"/>
        <w:right w:val="none" w:sz="0" w:space="0" w:color="auto"/>
      </w:divBdr>
    </w:div>
    <w:div w:id="198972884">
      <w:bodyDiv w:val="1"/>
      <w:marLeft w:val="0"/>
      <w:marRight w:val="0"/>
      <w:marTop w:val="0"/>
      <w:marBottom w:val="0"/>
      <w:divBdr>
        <w:top w:val="none" w:sz="0" w:space="0" w:color="auto"/>
        <w:left w:val="none" w:sz="0" w:space="0" w:color="auto"/>
        <w:bottom w:val="none" w:sz="0" w:space="0" w:color="auto"/>
        <w:right w:val="none" w:sz="0" w:space="0" w:color="auto"/>
      </w:divBdr>
    </w:div>
    <w:div w:id="225800957">
      <w:bodyDiv w:val="1"/>
      <w:marLeft w:val="0"/>
      <w:marRight w:val="0"/>
      <w:marTop w:val="0"/>
      <w:marBottom w:val="0"/>
      <w:divBdr>
        <w:top w:val="none" w:sz="0" w:space="0" w:color="auto"/>
        <w:left w:val="none" w:sz="0" w:space="0" w:color="auto"/>
        <w:bottom w:val="none" w:sz="0" w:space="0" w:color="auto"/>
        <w:right w:val="none" w:sz="0" w:space="0" w:color="auto"/>
      </w:divBdr>
    </w:div>
    <w:div w:id="244463462">
      <w:bodyDiv w:val="1"/>
      <w:marLeft w:val="0"/>
      <w:marRight w:val="0"/>
      <w:marTop w:val="0"/>
      <w:marBottom w:val="0"/>
      <w:divBdr>
        <w:top w:val="none" w:sz="0" w:space="0" w:color="auto"/>
        <w:left w:val="none" w:sz="0" w:space="0" w:color="auto"/>
        <w:bottom w:val="none" w:sz="0" w:space="0" w:color="auto"/>
        <w:right w:val="none" w:sz="0" w:space="0" w:color="auto"/>
      </w:divBdr>
    </w:div>
    <w:div w:id="249971062">
      <w:bodyDiv w:val="1"/>
      <w:marLeft w:val="0"/>
      <w:marRight w:val="0"/>
      <w:marTop w:val="0"/>
      <w:marBottom w:val="0"/>
      <w:divBdr>
        <w:top w:val="none" w:sz="0" w:space="0" w:color="auto"/>
        <w:left w:val="none" w:sz="0" w:space="0" w:color="auto"/>
        <w:bottom w:val="none" w:sz="0" w:space="0" w:color="auto"/>
        <w:right w:val="none" w:sz="0" w:space="0" w:color="auto"/>
      </w:divBdr>
    </w:div>
    <w:div w:id="264658839">
      <w:bodyDiv w:val="1"/>
      <w:marLeft w:val="0"/>
      <w:marRight w:val="0"/>
      <w:marTop w:val="0"/>
      <w:marBottom w:val="0"/>
      <w:divBdr>
        <w:top w:val="none" w:sz="0" w:space="0" w:color="auto"/>
        <w:left w:val="none" w:sz="0" w:space="0" w:color="auto"/>
        <w:bottom w:val="none" w:sz="0" w:space="0" w:color="auto"/>
        <w:right w:val="none" w:sz="0" w:space="0" w:color="auto"/>
      </w:divBdr>
    </w:div>
    <w:div w:id="270014089">
      <w:bodyDiv w:val="1"/>
      <w:marLeft w:val="0"/>
      <w:marRight w:val="0"/>
      <w:marTop w:val="0"/>
      <w:marBottom w:val="0"/>
      <w:divBdr>
        <w:top w:val="none" w:sz="0" w:space="0" w:color="auto"/>
        <w:left w:val="none" w:sz="0" w:space="0" w:color="auto"/>
        <w:bottom w:val="none" w:sz="0" w:space="0" w:color="auto"/>
        <w:right w:val="none" w:sz="0" w:space="0" w:color="auto"/>
      </w:divBdr>
    </w:div>
    <w:div w:id="271591082">
      <w:bodyDiv w:val="1"/>
      <w:marLeft w:val="0"/>
      <w:marRight w:val="0"/>
      <w:marTop w:val="0"/>
      <w:marBottom w:val="0"/>
      <w:divBdr>
        <w:top w:val="none" w:sz="0" w:space="0" w:color="auto"/>
        <w:left w:val="none" w:sz="0" w:space="0" w:color="auto"/>
        <w:bottom w:val="none" w:sz="0" w:space="0" w:color="auto"/>
        <w:right w:val="none" w:sz="0" w:space="0" w:color="auto"/>
      </w:divBdr>
    </w:div>
    <w:div w:id="273024145">
      <w:bodyDiv w:val="1"/>
      <w:marLeft w:val="0"/>
      <w:marRight w:val="0"/>
      <w:marTop w:val="0"/>
      <w:marBottom w:val="0"/>
      <w:divBdr>
        <w:top w:val="none" w:sz="0" w:space="0" w:color="auto"/>
        <w:left w:val="none" w:sz="0" w:space="0" w:color="auto"/>
        <w:bottom w:val="none" w:sz="0" w:space="0" w:color="auto"/>
        <w:right w:val="none" w:sz="0" w:space="0" w:color="auto"/>
      </w:divBdr>
    </w:div>
    <w:div w:id="273094080">
      <w:bodyDiv w:val="1"/>
      <w:marLeft w:val="0"/>
      <w:marRight w:val="0"/>
      <w:marTop w:val="0"/>
      <w:marBottom w:val="0"/>
      <w:divBdr>
        <w:top w:val="none" w:sz="0" w:space="0" w:color="auto"/>
        <w:left w:val="none" w:sz="0" w:space="0" w:color="auto"/>
        <w:bottom w:val="none" w:sz="0" w:space="0" w:color="auto"/>
        <w:right w:val="none" w:sz="0" w:space="0" w:color="auto"/>
      </w:divBdr>
    </w:div>
    <w:div w:id="279723923">
      <w:bodyDiv w:val="1"/>
      <w:marLeft w:val="0"/>
      <w:marRight w:val="0"/>
      <w:marTop w:val="0"/>
      <w:marBottom w:val="0"/>
      <w:divBdr>
        <w:top w:val="none" w:sz="0" w:space="0" w:color="auto"/>
        <w:left w:val="none" w:sz="0" w:space="0" w:color="auto"/>
        <w:bottom w:val="none" w:sz="0" w:space="0" w:color="auto"/>
        <w:right w:val="none" w:sz="0" w:space="0" w:color="auto"/>
      </w:divBdr>
    </w:div>
    <w:div w:id="282931892">
      <w:bodyDiv w:val="1"/>
      <w:marLeft w:val="0"/>
      <w:marRight w:val="0"/>
      <w:marTop w:val="0"/>
      <w:marBottom w:val="0"/>
      <w:divBdr>
        <w:top w:val="none" w:sz="0" w:space="0" w:color="auto"/>
        <w:left w:val="none" w:sz="0" w:space="0" w:color="auto"/>
        <w:bottom w:val="none" w:sz="0" w:space="0" w:color="auto"/>
        <w:right w:val="none" w:sz="0" w:space="0" w:color="auto"/>
      </w:divBdr>
    </w:div>
    <w:div w:id="301810536">
      <w:bodyDiv w:val="1"/>
      <w:marLeft w:val="0"/>
      <w:marRight w:val="0"/>
      <w:marTop w:val="0"/>
      <w:marBottom w:val="0"/>
      <w:divBdr>
        <w:top w:val="none" w:sz="0" w:space="0" w:color="auto"/>
        <w:left w:val="none" w:sz="0" w:space="0" w:color="auto"/>
        <w:bottom w:val="none" w:sz="0" w:space="0" w:color="auto"/>
        <w:right w:val="none" w:sz="0" w:space="0" w:color="auto"/>
      </w:divBdr>
    </w:div>
    <w:div w:id="306936826">
      <w:bodyDiv w:val="1"/>
      <w:marLeft w:val="0"/>
      <w:marRight w:val="0"/>
      <w:marTop w:val="0"/>
      <w:marBottom w:val="0"/>
      <w:divBdr>
        <w:top w:val="none" w:sz="0" w:space="0" w:color="auto"/>
        <w:left w:val="none" w:sz="0" w:space="0" w:color="auto"/>
        <w:bottom w:val="none" w:sz="0" w:space="0" w:color="auto"/>
        <w:right w:val="none" w:sz="0" w:space="0" w:color="auto"/>
      </w:divBdr>
    </w:div>
    <w:div w:id="307250919">
      <w:bodyDiv w:val="1"/>
      <w:marLeft w:val="0"/>
      <w:marRight w:val="0"/>
      <w:marTop w:val="0"/>
      <w:marBottom w:val="0"/>
      <w:divBdr>
        <w:top w:val="none" w:sz="0" w:space="0" w:color="auto"/>
        <w:left w:val="none" w:sz="0" w:space="0" w:color="auto"/>
        <w:bottom w:val="none" w:sz="0" w:space="0" w:color="auto"/>
        <w:right w:val="none" w:sz="0" w:space="0" w:color="auto"/>
      </w:divBdr>
    </w:div>
    <w:div w:id="311259243">
      <w:bodyDiv w:val="1"/>
      <w:marLeft w:val="0"/>
      <w:marRight w:val="0"/>
      <w:marTop w:val="0"/>
      <w:marBottom w:val="0"/>
      <w:divBdr>
        <w:top w:val="none" w:sz="0" w:space="0" w:color="auto"/>
        <w:left w:val="none" w:sz="0" w:space="0" w:color="auto"/>
        <w:bottom w:val="none" w:sz="0" w:space="0" w:color="auto"/>
        <w:right w:val="none" w:sz="0" w:space="0" w:color="auto"/>
      </w:divBdr>
    </w:div>
    <w:div w:id="328673508">
      <w:bodyDiv w:val="1"/>
      <w:marLeft w:val="0"/>
      <w:marRight w:val="0"/>
      <w:marTop w:val="0"/>
      <w:marBottom w:val="0"/>
      <w:divBdr>
        <w:top w:val="none" w:sz="0" w:space="0" w:color="auto"/>
        <w:left w:val="none" w:sz="0" w:space="0" w:color="auto"/>
        <w:bottom w:val="none" w:sz="0" w:space="0" w:color="auto"/>
        <w:right w:val="none" w:sz="0" w:space="0" w:color="auto"/>
      </w:divBdr>
    </w:div>
    <w:div w:id="344092475">
      <w:bodyDiv w:val="1"/>
      <w:marLeft w:val="0"/>
      <w:marRight w:val="0"/>
      <w:marTop w:val="0"/>
      <w:marBottom w:val="0"/>
      <w:divBdr>
        <w:top w:val="none" w:sz="0" w:space="0" w:color="auto"/>
        <w:left w:val="none" w:sz="0" w:space="0" w:color="auto"/>
        <w:bottom w:val="none" w:sz="0" w:space="0" w:color="auto"/>
        <w:right w:val="none" w:sz="0" w:space="0" w:color="auto"/>
      </w:divBdr>
    </w:div>
    <w:div w:id="346324934">
      <w:bodyDiv w:val="1"/>
      <w:marLeft w:val="0"/>
      <w:marRight w:val="0"/>
      <w:marTop w:val="0"/>
      <w:marBottom w:val="0"/>
      <w:divBdr>
        <w:top w:val="none" w:sz="0" w:space="0" w:color="auto"/>
        <w:left w:val="none" w:sz="0" w:space="0" w:color="auto"/>
        <w:bottom w:val="none" w:sz="0" w:space="0" w:color="auto"/>
        <w:right w:val="none" w:sz="0" w:space="0" w:color="auto"/>
      </w:divBdr>
    </w:div>
    <w:div w:id="349571645">
      <w:bodyDiv w:val="1"/>
      <w:marLeft w:val="0"/>
      <w:marRight w:val="0"/>
      <w:marTop w:val="0"/>
      <w:marBottom w:val="0"/>
      <w:divBdr>
        <w:top w:val="none" w:sz="0" w:space="0" w:color="auto"/>
        <w:left w:val="none" w:sz="0" w:space="0" w:color="auto"/>
        <w:bottom w:val="none" w:sz="0" w:space="0" w:color="auto"/>
        <w:right w:val="none" w:sz="0" w:space="0" w:color="auto"/>
      </w:divBdr>
    </w:div>
    <w:div w:id="359673422">
      <w:bodyDiv w:val="1"/>
      <w:marLeft w:val="0"/>
      <w:marRight w:val="0"/>
      <w:marTop w:val="0"/>
      <w:marBottom w:val="0"/>
      <w:divBdr>
        <w:top w:val="none" w:sz="0" w:space="0" w:color="auto"/>
        <w:left w:val="none" w:sz="0" w:space="0" w:color="auto"/>
        <w:bottom w:val="none" w:sz="0" w:space="0" w:color="auto"/>
        <w:right w:val="none" w:sz="0" w:space="0" w:color="auto"/>
      </w:divBdr>
    </w:div>
    <w:div w:id="360282589">
      <w:bodyDiv w:val="1"/>
      <w:marLeft w:val="0"/>
      <w:marRight w:val="0"/>
      <w:marTop w:val="0"/>
      <w:marBottom w:val="0"/>
      <w:divBdr>
        <w:top w:val="none" w:sz="0" w:space="0" w:color="auto"/>
        <w:left w:val="none" w:sz="0" w:space="0" w:color="auto"/>
        <w:bottom w:val="none" w:sz="0" w:space="0" w:color="auto"/>
        <w:right w:val="none" w:sz="0" w:space="0" w:color="auto"/>
      </w:divBdr>
    </w:div>
    <w:div w:id="362630104">
      <w:bodyDiv w:val="1"/>
      <w:marLeft w:val="0"/>
      <w:marRight w:val="0"/>
      <w:marTop w:val="0"/>
      <w:marBottom w:val="0"/>
      <w:divBdr>
        <w:top w:val="none" w:sz="0" w:space="0" w:color="auto"/>
        <w:left w:val="none" w:sz="0" w:space="0" w:color="auto"/>
        <w:bottom w:val="none" w:sz="0" w:space="0" w:color="auto"/>
        <w:right w:val="none" w:sz="0" w:space="0" w:color="auto"/>
      </w:divBdr>
    </w:div>
    <w:div w:id="374045328">
      <w:bodyDiv w:val="1"/>
      <w:marLeft w:val="0"/>
      <w:marRight w:val="0"/>
      <w:marTop w:val="0"/>
      <w:marBottom w:val="0"/>
      <w:divBdr>
        <w:top w:val="none" w:sz="0" w:space="0" w:color="auto"/>
        <w:left w:val="none" w:sz="0" w:space="0" w:color="auto"/>
        <w:bottom w:val="none" w:sz="0" w:space="0" w:color="auto"/>
        <w:right w:val="none" w:sz="0" w:space="0" w:color="auto"/>
      </w:divBdr>
    </w:div>
    <w:div w:id="387190309">
      <w:bodyDiv w:val="1"/>
      <w:marLeft w:val="0"/>
      <w:marRight w:val="0"/>
      <w:marTop w:val="0"/>
      <w:marBottom w:val="0"/>
      <w:divBdr>
        <w:top w:val="none" w:sz="0" w:space="0" w:color="auto"/>
        <w:left w:val="none" w:sz="0" w:space="0" w:color="auto"/>
        <w:bottom w:val="none" w:sz="0" w:space="0" w:color="auto"/>
        <w:right w:val="none" w:sz="0" w:space="0" w:color="auto"/>
      </w:divBdr>
    </w:div>
    <w:div w:id="392315191">
      <w:bodyDiv w:val="1"/>
      <w:marLeft w:val="0"/>
      <w:marRight w:val="0"/>
      <w:marTop w:val="0"/>
      <w:marBottom w:val="0"/>
      <w:divBdr>
        <w:top w:val="none" w:sz="0" w:space="0" w:color="auto"/>
        <w:left w:val="none" w:sz="0" w:space="0" w:color="auto"/>
        <w:bottom w:val="none" w:sz="0" w:space="0" w:color="auto"/>
        <w:right w:val="none" w:sz="0" w:space="0" w:color="auto"/>
      </w:divBdr>
    </w:div>
    <w:div w:id="392780802">
      <w:bodyDiv w:val="1"/>
      <w:marLeft w:val="0"/>
      <w:marRight w:val="0"/>
      <w:marTop w:val="0"/>
      <w:marBottom w:val="0"/>
      <w:divBdr>
        <w:top w:val="none" w:sz="0" w:space="0" w:color="auto"/>
        <w:left w:val="none" w:sz="0" w:space="0" w:color="auto"/>
        <w:bottom w:val="none" w:sz="0" w:space="0" w:color="auto"/>
        <w:right w:val="none" w:sz="0" w:space="0" w:color="auto"/>
      </w:divBdr>
    </w:div>
    <w:div w:id="425661367">
      <w:bodyDiv w:val="1"/>
      <w:marLeft w:val="0"/>
      <w:marRight w:val="0"/>
      <w:marTop w:val="0"/>
      <w:marBottom w:val="0"/>
      <w:divBdr>
        <w:top w:val="none" w:sz="0" w:space="0" w:color="auto"/>
        <w:left w:val="none" w:sz="0" w:space="0" w:color="auto"/>
        <w:bottom w:val="none" w:sz="0" w:space="0" w:color="auto"/>
        <w:right w:val="none" w:sz="0" w:space="0" w:color="auto"/>
      </w:divBdr>
    </w:div>
    <w:div w:id="439297095">
      <w:bodyDiv w:val="1"/>
      <w:marLeft w:val="0"/>
      <w:marRight w:val="0"/>
      <w:marTop w:val="0"/>
      <w:marBottom w:val="0"/>
      <w:divBdr>
        <w:top w:val="none" w:sz="0" w:space="0" w:color="auto"/>
        <w:left w:val="none" w:sz="0" w:space="0" w:color="auto"/>
        <w:bottom w:val="none" w:sz="0" w:space="0" w:color="auto"/>
        <w:right w:val="none" w:sz="0" w:space="0" w:color="auto"/>
      </w:divBdr>
    </w:div>
    <w:div w:id="442387319">
      <w:bodyDiv w:val="1"/>
      <w:marLeft w:val="0"/>
      <w:marRight w:val="0"/>
      <w:marTop w:val="0"/>
      <w:marBottom w:val="0"/>
      <w:divBdr>
        <w:top w:val="none" w:sz="0" w:space="0" w:color="auto"/>
        <w:left w:val="none" w:sz="0" w:space="0" w:color="auto"/>
        <w:bottom w:val="none" w:sz="0" w:space="0" w:color="auto"/>
        <w:right w:val="none" w:sz="0" w:space="0" w:color="auto"/>
      </w:divBdr>
    </w:div>
    <w:div w:id="444076210">
      <w:bodyDiv w:val="1"/>
      <w:marLeft w:val="0"/>
      <w:marRight w:val="0"/>
      <w:marTop w:val="0"/>
      <w:marBottom w:val="0"/>
      <w:divBdr>
        <w:top w:val="none" w:sz="0" w:space="0" w:color="auto"/>
        <w:left w:val="none" w:sz="0" w:space="0" w:color="auto"/>
        <w:bottom w:val="none" w:sz="0" w:space="0" w:color="auto"/>
        <w:right w:val="none" w:sz="0" w:space="0" w:color="auto"/>
      </w:divBdr>
    </w:div>
    <w:div w:id="449321389">
      <w:bodyDiv w:val="1"/>
      <w:marLeft w:val="0"/>
      <w:marRight w:val="0"/>
      <w:marTop w:val="0"/>
      <w:marBottom w:val="0"/>
      <w:divBdr>
        <w:top w:val="none" w:sz="0" w:space="0" w:color="auto"/>
        <w:left w:val="none" w:sz="0" w:space="0" w:color="auto"/>
        <w:bottom w:val="none" w:sz="0" w:space="0" w:color="auto"/>
        <w:right w:val="none" w:sz="0" w:space="0" w:color="auto"/>
      </w:divBdr>
    </w:div>
    <w:div w:id="452527455">
      <w:bodyDiv w:val="1"/>
      <w:marLeft w:val="0"/>
      <w:marRight w:val="0"/>
      <w:marTop w:val="0"/>
      <w:marBottom w:val="0"/>
      <w:divBdr>
        <w:top w:val="none" w:sz="0" w:space="0" w:color="auto"/>
        <w:left w:val="none" w:sz="0" w:space="0" w:color="auto"/>
        <w:bottom w:val="none" w:sz="0" w:space="0" w:color="auto"/>
        <w:right w:val="none" w:sz="0" w:space="0" w:color="auto"/>
      </w:divBdr>
    </w:div>
    <w:div w:id="462961917">
      <w:bodyDiv w:val="1"/>
      <w:marLeft w:val="0"/>
      <w:marRight w:val="0"/>
      <w:marTop w:val="0"/>
      <w:marBottom w:val="0"/>
      <w:divBdr>
        <w:top w:val="none" w:sz="0" w:space="0" w:color="auto"/>
        <w:left w:val="none" w:sz="0" w:space="0" w:color="auto"/>
        <w:bottom w:val="none" w:sz="0" w:space="0" w:color="auto"/>
        <w:right w:val="none" w:sz="0" w:space="0" w:color="auto"/>
      </w:divBdr>
    </w:div>
    <w:div w:id="467168925">
      <w:bodyDiv w:val="1"/>
      <w:marLeft w:val="0"/>
      <w:marRight w:val="0"/>
      <w:marTop w:val="0"/>
      <w:marBottom w:val="0"/>
      <w:divBdr>
        <w:top w:val="none" w:sz="0" w:space="0" w:color="auto"/>
        <w:left w:val="none" w:sz="0" w:space="0" w:color="auto"/>
        <w:bottom w:val="none" w:sz="0" w:space="0" w:color="auto"/>
        <w:right w:val="none" w:sz="0" w:space="0" w:color="auto"/>
      </w:divBdr>
    </w:div>
    <w:div w:id="467284186">
      <w:bodyDiv w:val="1"/>
      <w:marLeft w:val="0"/>
      <w:marRight w:val="0"/>
      <w:marTop w:val="0"/>
      <w:marBottom w:val="0"/>
      <w:divBdr>
        <w:top w:val="none" w:sz="0" w:space="0" w:color="auto"/>
        <w:left w:val="none" w:sz="0" w:space="0" w:color="auto"/>
        <w:bottom w:val="none" w:sz="0" w:space="0" w:color="auto"/>
        <w:right w:val="none" w:sz="0" w:space="0" w:color="auto"/>
      </w:divBdr>
    </w:div>
    <w:div w:id="470756810">
      <w:bodyDiv w:val="1"/>
      <w:marLeft w:val="0"/>
      <w:marRight w:val="0"/>
      <w:marTop w:val="0"/>
      <w:marBottom w:val="0"/>
      <w:divBdr>
        <w:top w:val="none" w:sz="0" w:space="0" w:color="auto"/>
        <w:left w:val="none" w:sz="0" w:space="0" w:color="auto"/>
        <w:bottom w:val="none" w:sz="0" w:space="0" w:color="auto"/>
        <w:right w:val="none" w:sz="0" w:space="0" w:color="auto"/>
      </w:divBdr>
    </w:div>
    <w:div w:id="479813542">
      <w:bodyDiv w:val="1"/>
      <w:marLeft w:val="0"/>
      <w:marRight w:val="0"/>
      <w:marTop w:val="0"/>
      <w:marBottom w:val="0"/>
      <w:divBdr>
        <w:top w:val="none" w:sz="0" w:space="0" w:color="auto"/>
        <w:left w:val="none" w:sz="0" w:space="0" w:color="auto"/>
        <w:bottom w:val="none" w:sz="0" w:space="0" w:color="auto"/>
        <w:right w:val="none" w:sz="0" w:space="0" w:color="auto"/>
      </w:divBdr>
    </w:div>
    <w:div w:id="483620775">
      <w:bodyDiv w:val="1"/>
      <w:marLeft w:val="0"/>
      <w:marRight w:val="0"/>
      <w:marTop w:val="0"/>
      <w:marBottom w:val="0"/>
      <w:divBdr>
        <w:top w:val="none" w:sz="0" w:space="0" w:color="auto"/>
        <w:left w:val="none" w:sz="0" w:space="0" w:color="auto"/>
        <w:bottom w:val="none" w:sz="0" w:space="0" w:color="auto"/>
        <w:right w:val="none" w:sz="0" w:space="0" w:color="auto"/>
      </w:divBdr>
    </w:div>
    <w:div w:id="485588811">
      <w:bodyDiv w:val="1"/>
      <w:marLeft w:val="0"/>
      <w:marRight w:val="0"/>
      <w:marTop w:val="0"/>
      <w:marBottom w:val="0"/>
      <w:divBdr>
        <w:top w:val="none" w:sz="0" w:space="0" w:color="auto"/>
        <w:left w:val="none" w:sz="0" w:space="0" w:color="auto"/>
        <w:bottom w:val="none" w:sz="0" w:space="0" w:color="auto"/>
        <w:right w:val="none" w:sz="0" w:space="0" w:color="auto"/>
      </w:divBdr>
    </w:div>
    <w:div w:id="501430770">
      <w:bodyDiv w:val="1"/>
      <w:marLeft w:val="0"/>
      <w:marRight w:val="0"/>
      <w:marTop w:val="0"/>
      <w:marBottom w:val="0"/>
      <w:divBdr>
        <w:top w:val="none" w:sz="0" w:space="0" w:color="auto"/>
        <w:left w:val="none" w:sz="0" w:space="0" w:color="auto"/>
        <w:bottom w:val="none" w:sz="0" w:space="0" w:color="auto"/>
        <w:right w:val="none" w:sz="0" w:space="0" w:color="auto"/>
      </w:divBdr>
    </w:div>
    <w:div w:id="520628203">
      <w:bodyDiv w:val="1"/>
      <w:marLeft w:val="0"/>
      <w:marRight w:val="0"/>
      <w:marTop w:val="0"/>
      <w:marBottom w:val="0"/>
      <w:divBdr>
        <w:top w:val="none" w:sz="0" w:space="0" w:color="auto"/>
        <w:left w:val="none" w:sz="0" w:space="0" w:color="auto"/>
        <w:bottom w:val="none" w:sz="0" w:space="0" w:color="auto"/>
        <w:right w:val="none" w:sz="0" w:space="0" w:color="auto"/>
      </w:divBdr>
    </w:div>
    <w:div w:id="522327639">
      <w:bodyDiv w:val="1"/>
      <w:marLeft w:val="0"/>
      <w:marRight w:val="0"/>
      <w:marTop w:val="0"/>
      <w:marBottom w:val="0"/>
      <w:divBdr>
        <w:top w:val="none" w:sz="0" w:space="0" w:color="auto"/>
        <w:left w:val="none" w:sz="0" w:space="0" w:color="auto"/>
        <w:bottom w:val="none" w:sz="0" w:space="0" w:color="auto"/>
        <w:right w:val="none" w:sz="0" w:space="0" w:color="auto"/>
      </w:divBdr>
    </w:div>
    <w:div w:id="540436394">
      <w:bodyDiv w:val="1"/>
      <w:marLeft w:val="0"/>
      <w:marRight w:val="0"/>
      <w:marTop w:val="0"/>
      <w:marBottom w:val="0"/>
      <w:divBdr>
        <w:top w:val="none" w:sz="0" w:space="0" w:color="auto"/>
        <w:left w:val="none" w:sz="0" w:space="0" w:color="auto"/>
        <w:bottom w:val="none" w:sz="0" w:space="0" w:color="auto"/>
        <w:right w:val="none" w:sz="0" w:space="0" w:color="auto"/>
      </w:divBdr>
    </w:div>
    <w:div w:id="575669132">
      <w:bodyDiv w:val="1"/>
      <w:marLeft w:val="0"/>
      <w:marRight w:val="0"/>
      <w:marTop w:val="0"/>
      <w:marBottom w:val="0"/>
      <w:divBdr>
        <w:top w:val="none" w:sz="0" w:space="0" w:color="auto"/>
        <w:left w:val="none" w:sz="0" w:space="0" w:color="auto"/>
        <w:bottom w:val="none" w:sz="0" w:space="0" w:color="auto"/>
        <w:right w:val="none" w:sz="0" w:space="0" w:color="auto"/>
      </w:divBdr>
    </w:div>
    <w:div w:id="582178533">
      <w:bodyDiv w:val="1"/>
      <w:marLeft w:val="0"/>
      <w:marRight w:val="0"/>
      <w:marTop w:val="0"/>
      <w:marBottom w:val="0"/>
      <w:divBdr>
        <w:top w:val="none" w:sz="0" w:space="0" w:color="auto"/>
        <w:left w:val="none" w:sz="0" w:space="0" w:color="auto"/>
        <w:bottom w:val="none" w:sz="0" w:space="0" w:color="auto"/>
        <w:right w:val="none" w:sz="0" w:space="0" w:color="auto"/>
      </w:divBdr>
    </w:div>
    <w:div w:id="595095925">
      <w:bodyDiv w:val="1"/>
      <w:marLeft w:val="0"/>
      <w:marRight w:val="0"/>
      <w:marTop w:val="0"/>
      <w:marBottom w:val="0"/>
      <w:divBdr>
        <w:top w:val="none" w:sz="0" w:space="0" w:color="auto"/>
        <w:left w:val="none" w:sz="0" w:space="0" w:color="auto"/>
        <w:bottom w:val="none" w:sz="0" w:space="0" w:color="auto"/>
        <w:right w:val="none" w:sz="0" w:space="0" w:color="auto"/>
      </w:divBdr>
    </w:div>
    <w:div w:id="599989379">
      <w:bodyDiv w:val="1"/>
      <w:marLeft w:val="0"/>
      <w:marRight w:val="0"/>
      <w:marTop w:val="0"/>
      <w:marBottom w:val="0"/>
      <w:divBdr>
        <w:top w:val="none" w:sz="0" w:space="0" w:color="auto"/>
        <w:left w:val="none" w:sz="0" w:space="0" w:color="auto"/>
        <w:bottom w:val="none" w:sz="0" w:space="0" w:color="auto"/>
        <w:right w:val="none" w:sz="0" w:space="0" w:color="auto"/>
      </w:divBdr>
    </w:div>
    <w:div w:id="610480800">
      <w:bodyDiv w:val="1"/>
      <w:marLeft w:val="0"/>
      <w:marRight w:val="0"/>
      <w:marTop w:val="0"/>
      <w:marBottom w:val="0"/>
      <w:divBdr>
        <w:top w:val="none" w:sz="0" w:space="0" w:color="auto"/>
        <w:left w:val="none" w:sz="0" w:space="0" w:color="auto"/>
        <w:bottom w:val="none" w:sz="0" w:space="0" w:color="auto"/>
        <w:right w:val="none" w:sz="0" w:space="0" w:color="auto"/>
      </w:divBdr>
    </w:div>
    <w:div w:id="611134731">
      <w:bodyDiv w:val="1"/>
      <w:marLeft w:val="0"/>
      <w:marRight w:val="0"/>
      <w:marTop w:val="0"/>
      <w:marBottom w:val="0"/>
      <w:divBdr>
        <w:top w:val="none" w:sz="0" w:space="0" w:color="auto"/>
        <w:left w:val="none" w:sz="0" w:space="0" w:color="auto"/>
        <w:bottom w:val="none" w:sz="0" w:space="0" w:color="auto"/>
        <w:right w:val="none" w:sz="0" w:space="0" w:color="auto"/>
      </w:divBdr>
    </w:div>
    <w:div w:id="627051950">
      <w:bodyDiv w:val="1"/>
      <w:marLeft w:val="0"/>
      <w:marRight w:val="0"/>
      <w:marTop w:val="0"/>
      <w:marBottom w:val="0"/>
      <w:divBdr>
        <w:top w:val="none" w:sz="0" w:space="0" w:color="auto"/>
        <w:left w:val="none" w:sz="0" w:space="0" w:color="auto"/>
        <w:bottom w:val="none" w:sz="0" w:space="0" w:color="auto"/>
        <w:right w:val="none" w:sz="0" w:space="0" w:color="auto"/>
      </w:divBdr>
    </w:div>
    <w:div w:id="628319682">
      <w:bodyDiv w:val="1"/>
      <w:marLeft w:val="0"/>
      <w:marRight w:val="0"/>
      <w:marTop w:val="0"/>
      <w:marBottom w:val="0"/>
      <w:divBdr>
        <w:top w:val="none" w:sz="0" w:space="0" w:color="auto"/>
        <w:left w:val="none" w:sz="0" w:space="0" w:color="auto"/>
        <w:bottom w:val="none" w:sz="0" w:space="0" w:color="auto"/>
        <w:right w:val="none" w:sz="0" w:space="0" w:color="auto"/>
      </w:divBdr>
    </w:div>
    <w:div w:id="634989948">
      <w:bodyDiv w:val="1"/>
      <w:marLeft w:val="0"/>
      <w:marRight w:val="0"/>
      <w:marTop w:val="0"/>
      <w:marBottom w:val="0"/>
      <w:divBdr>
        <w:top w:val="none" w:sz="0" w:space="0" w:color="auto"/>
        <w:left w:val="none" w:sz="0" w:space="0" w:color="auto"/>
        <w:bottom w:val="none" w:sz="0" w:space="0" w:color="auto"/>
        <w:right w:val="none" w:sz="0" w:space="0" w:color="auto"/>
      </w:divBdr>
    </w:div>
    <w:div w:id="643238836">
      <w:bodyDiv w:val="1"/>
      <w:marLeft w:val="0"/>
      <w:marRight w:val="0"/>
      <w:marTop w:val="0"/>
      <w:marBottom w:val="0"/>
      <w:divBdr>
        <w:top w:val="none" w:sz="0" w:space="0" w:color="auto"/>
        <w:left w:val="none" w:sz="0" w:space="0" w:color="auto"/>
        <w:bottom w:val="none" w:sz="0" w:space="0" w:color="auto"/>
        <w:right w:val="none" w:sz="0" w:space="0" w:color="auto"/>
      </w:divBdr>
    </w:div>
    <w:div w:id="643657806">
      <w:bodyDiv w:val="1"/>
      <w:marLeft w:val="0"/>
      <w:marRight w:val="0"/>
      <w:marTop w:val="0"/>
      <w:marBottom w:val="0"/>
      <w:divBdr>
        <w:top w:val="none" w:sz="0" w:space="0" w:color="auto"/>
        <w:left w:val="none" w:sz="0" w:space="0" w:color="auto"/>
        <w:bottom w:val="none" w:sz="0" w:space="0" w:color="auto"/>
        <w:right w:val="none" w:sz="0" w:space="0" w:color="auto"/>
      </w:divBdr>
    </w:div>
    <w:div w:id="644698569">
      <w:bodyDiv w:val="1"/>
      <w:marLeft w:val="0"/>
      <w:marRight w:val="0"/>
      <w:marTop w:val="0"/>
      <w:marBottom w:val="0"/>
      <w:divBdr>
        <w:top w:val="none" w:sz="0" w:space="0" w:color="auto"/>
        <w:left w:val="none" w:sz="0" w:space="0" w:color="auto"/>
        <w:bottom w:val="none" w:sz="0" w:space="0" w:color="auto"/>
        <w:right w:val="none" w:sz="0" w:space="0" w:color="auto"/>
      </w:divBdr>
    </w:div>
    <w:div w:id="656808029">
      <w:bodyDiv w:val="1"/>
      <w:marLeft w:val="0"/>
      <w:marRight w:val="0"/>
      <w:marTop w:val="0"/>
      <w:marBottom w:val="0"/>
      <w:divBdr>
        <w:top w:val="none" w:sz="0" w:space="0" w:color="auto"/>
        <w:left w:val="none" w:sz="0" w:space="0" w:color="auto"/>
        <w:bottom w:val="none" w:sz="0" w:space="0" w:color="auto"/>
        <w:right w:val="none" w:sz="0" w:space="0" w:color="auto"/>
      </w:divBdr>
    </w:div>
    <w:div w:id="663051742">
      <w:bodyDiv w:val="1"/>
      <w:marLeft w:val="0"/>
      <w:marRight w:val="0"/>
      <w:marTop w:val="0"/>
      <w:marBottom w:val="0"/>
      <w:divBdr>
        <w:top w:val="none" w:sz="0" w:space="0" w:color="auto"/>
        <w:left w:val="none" w:sz="0" w:space="0" w:color="auto"/>
        <w:bottom w:val="none" w:sz="0" w:space="0" w:color="auto"/>
        <w:right w:val="none" w:sz="0" w:space="0" w:color="auto"/>
      </w:divBdr>
    </w:div>
    <w:div w:id="664630326">
      <w:bodyDiv w:val="1"/>
      <w:marLeft w:val="0"/>
      <w:marRight w:val="0"/>
      <w:marTop w:val="0"/>
      <w:marBottom w:val="0"/>
      <w:divBdr>
        <w:top w:val="none" w:sz="0" w:space="0" w:color="auto"/>
        <w:left w:val="none" w:sz="0" w:space="0" w:color="auto"/>
        <w:bottom w:val="none" w:sz="0" w:space="0" w:color="auto"/>
        <w:right w:val="none" w:sz="0" w:space="0" w:color="auto"/>
      </w:divBdr>
    </w:div>
    <w:div w:id="667828671">
      <w:bodyDiv w:val="1"/>
      <w:marLeft w:val="0"/>
      <w:marRight w:val="0"/>
      <w:marTop w:val="0"/>
      <w:marBottom w:val="0"/>
      <w:divBdr>
        <w:top w:val="none" w:sz="0" w:space="0" w:color="auto"/>
        <w:left w:val="none" w:sz="0" w:space="0" w:color="auto"/>
        <w:bottom w:val="none" w:sz="0" w:space="0" w:color="auto"/>
        <w:right w:val="none" w:sz="0" w:space="0" w:color="auto"/>
      </w:divBdr>
    </w:div>
    <w:div w:id="668290550">
      <w:bodyDiv w:val="1"/>
      <w:marLeft w:val="0"/>
      <w:marRight w:val="0"/>
      <w:marTop w:val="0"/>
      <w:marBottom w:val="0"/>
      <w:divBdr>
        <w:top w:val="none" w:sz="0" w:space="0" w:color="auto"/>
        <w:left w:val="none" w:sz="0" w:space="0" w:color="auto"/>
        <w:bottom w:val="none" w:sz="0" w:space="0" w:color="auto"/>
        <w:right w:val="none" w:sz="0" w:space="0" w:color="auto"/>
      </w:divBdr>
    </w:div>
    <w:div w:id="676465959">
      <w:bodyDiv w:val="1"/>
      <w:marLeft w:val="0"/>
      <w:marRight w:val="0"/>
      <w:marTop w:val="0"/>
      <w:marBottom w:val="0"/>
      <w:divBdr>
        <w:top w:val="none" w:sz="0" w:space="0" w:color="auto"/>
        <w:left w:val="none" w:sz="0" w:space="0" w:color="auto"/>
        <w:bottom w:val="none" w:sz="0" w:space="0" w:color="auto"/>
        <w:right w:val="none" w:sz="0" w:space="0" w:color="auto"/>
      </w:divBdr>
    </w:div>
    <w:div w:id="677856406">
      <w:bodyDiv w:val="1"/>
      <w:marLeft w:val="0"/>
      <w:marRight w:val="0"/>
      <w:marTop w:val="0"/>
      <w:marBottom w:val="0"/>
      <w:divBdr>
        <w:top w:val="none" w:sz="0" w:space="0" w:color="auto"/>
        <w:left w:val="none" w:sz="0" w:space="0" w:color="auto"/>
        <w:bottom w:val="none" w:sz="0" w:space="0" w:color="auto"/>
        <w:right w:val="none" w:sz="0" w:space="0" w:color="auto"/>
      </w:divBdr>
    </w:div>
    <w:div w:id="680281806">
      <w:bodyDiv w:val="1"/>
      <w:marLeft w:val="0"/>
      <w:marRight w:val="0"/>
      <w:marTop w:val="0"/>
      <w:marBottom w:val="0"/>
      <w:divBdr>
        <w:top w:val="none" w:sz="0" w:space="0" w:color="auto"/>
        <w:left w:val="none" w:sz="0" w:space="0" w:color="auto"/>
        <w:bottom w:val="none" w:sz="0" w:space="0" w:color="auto"/>
        <w:right w:val="none" w:sz="0" w:space="0" w:color="auto"/>
      </w:divBdr>
    </w:div>
    <w:div w:id="688683248">
      <w:bodyDiv w:val="1"/>
      <w:marLeft w:val="0"/>
      <w:marRight w:val="0"/>
      <w:marTop w:val="0"/>
      <w:marBottom w:val="0"/>
      <w:divBdr>
        <w:top w:val="none" w:sz="0" w:space="0" w:color="auto"/>
        <w:left w:val="none" w:sz="0" w:space="0" w:color="auto"/>
        <w:bottom w:val="none" w:sz="0" w:space="0" w:color="auto"/>
        <w:right w:val="none" w:sz="0" w:space="0" w:color="auto"/>
      </w:divBdr>
    </w:div>
    <w:div w:id="693310352">
      <w:bodyDiv w:val="1"/>
      <w:marLeft w:val="0"/>
      <w:marRight w:val="0"/>
      <w:marTop w:val="0"/>
      <w:marBottom w:val="0"/>
      <w:divBdr>
        <w:top w:val="none" w:sz="0" w:space="0" w:color="auto"/>
        <w:left w:val="none" w:sz="0" w:space="0" w:color="auto"/>
        <w:bottom w:val="none" w:sz="0" w:space="0" w:color="auto"/>
        <w:right w:val="none" w:sz="0" w:space="0" w:color="auto"/>
      </w:divBdr>
    </w:div>
    <w:div w:id="696277930">
      <w:bodyDiv w:val="1"/>
      <w:marLeft w:val="0"/>
      <w:marRight w:val="0"/>
      <w:marTop w:val="0"/>
      <w:marBottom w:val="0"/>
      <w:divBdr>
        <w:top w:val="none" w:sz="0" w:space="0" w:color="auto"/>
        <w:left w:val="none" w:sz="0" w:space="0" w:color="auto"/>
        <w:bottom w:val="none" w:sz="0" w:space="0" w:color="auto"/>
        <w:right w:val="none" w:sz="0" w:space="0" w:color="auto"/>
      </w:divBdr>
    </w:div>
    <w:div w:id="698044760">
      <w:bodyDiv w:val="1"/>
      <w:marLeft w:val="0"/>
      <w:marRight w:val="0"/>
      <w:marTop w:val="0"/>
      <w:marBottom w:val="0"/>
      <w:divBdr>
        <w:top w:val="none" w:sz="0" w:space="0" w:color="auto"/>
        <w:left w:val="none" w:sz="0" w:space="0" w:color="auto"/>
        <w:bottom w:val="none" w:sz="0" w:space="0" w:color="auto"/>
        <w:right w:val="none" w:sz="0" w:space="0" w:color="auto"/>
      </w:divBdr>
    </w:div>
    <w:div w:id="705064723">
      <w:bodyDiv w:val="1"/>
      <w:marLeft w:val="0"/>
      <w:marRight w:val="0"/>
      <w:marTop w:val="0"/>
      <w:marBottom w:val="0"/>
      <w:divBdr>
        <w:top w:val="none" w:sz="0" w:space="0" w:color="auto"/>
        <w:left w:val="none" w:sz="0" w:space="0" w:color="auto"/>
        <w:bottom w:val="none" w:sz="0" w:space="0" w:color="auto"/>
        <w:right w:val="none" w:sz="0" w:space="0" w:color="auto"/>
      </w:divBdr>
    </w:div>
    <w:div w:id="711923269">
      <w:bodyDiv w:val="1"/>
      <w:marLeft w:val="0"/>
      <w:marRight w:val="0"/>
      <w:marTop w:val="0"/>
      <w:marBottom w:val="0"/>
      <w:divBdr>
        <w:top w:val="none" w:sz="0" w:space="0" w:color="auto"/>
        <w:left w:val="none" w:sz="0" w:space="0" w:color="auto"/>
        <w:bottom w:val="none" w:sz="0" w:space="0" w:color="auto"/>
        <w:right w:val="none" w:sz="0" w:space="0" w:color="auto"/>
      </w:divBdr>
    </w:div>
    <w:div w:id="712463322">
      <w:bodyDiv w:val="1"/>
      <w:marLeft w:val="0"/>
      <w:marRight w:val="0"/>
      <w:marTop w:val="0"/>
      <w:marBottom w:val="0"/>
      <w:divBdr>
        <w:top w:val="none" w:sz="0" w:space="0" w:color="auto"/>
        <w:left w:val="none" w:sz="0" w:space="0" w:color="auto"/>
        <w:bottom w:val="none" w:sz="0" w:space="0" w:color="auto"/>
        <w:right w:val="none" w:sz="0" w:space="0" w:color="auto"/>
      </w:divBdr>
    </w:div>
    <w:div w:id="713653172">
      <w:bodyDiv w:val="1"/>
      <w:marLeft w:val="0"/>
      <w:marRight w:val="0"/>
      <w:marTop w:val="0"/>
      <w:marBottom w:val="0"/>
      <w:divBdr>
        <w:top w:val="none" w:sz="0" w:space="0" w:color="auto"/>
        <w:left w:val="none" w:sz="0" w:space="0" w:color="auto"/>
        <w:bottom w:val="none" w:sz="0" w:space="0" w:color="auto"/>
        <w:right w:val="none" w:sz="0" w:space="0" w:color="auto"/>
      </w:divBdr>
    </w:div>
    <w:div w:id="717316323">
      <w:bodyDiv w:val="1"/>
      <w:marLeft w:val="0"/>
      <w:marRight w:val="0"/>
      <w:marTop w:val="0"/>
      <w:marBottom w:val="0"/>
      <w:divBdr>
        <w:top w:val="none" w:sz="0" w:space="0" w:color="auto"/>
        <w:left w:val="none" w:sz="0" w:space="0" w:color="auto"/>
        <w:bottom w:val="none" w:sz="0" w:space="0" w:color="auto"/>
        <w:right w:val="none" w:sz="0" w:space="0" w:color="auto"/>
      </w:divBdr>
    </w:div>
    <w:div w:id="723260442">
      <w:bodyDiv w:val="1"/>
      <w:marLeft w:val="0"/>
      <w:marRight w:val="0"/>
      <w:marTop w:val="0"/>
      <w:marBottom w:val="0"/>
      <w:divBdr>
        <w:top w:val="none" w:sz="0" w:space="0" w:color="auto"/>
        <w:left w:val="none" w:sz="0" w:space="0" w:color="auto"/>
        <w:bottom w:val="none" w:sz="0" w:space="0" w:color="auto"/>
        <w:right w:val="none" w:sz="0" w:space="0" w:color="auto"/>
      </w:divBdr>
    </w:div>
    <w:div w:id="744717966">
      <w:bodyDiv w:val="1"/>
      <w:marLeft w:val="0"/>
      <w:marRight w:val="0"/>
      <w:marTop w:val="0"/>
      <w:marBottom w:val="0"/>
      <w:divBdr>
        <w:top w:val="none" w:sz="0" w:space="0" w:color="auto"/>
        <w:left w:val="none" w:sz="0" w:space="0" w:color="auto"/>
        <w:bottom w:val="none" w:sz="0" w:space="0" w:color="auto"/>
        <w:right w:val="none" w:sz="0" w:space="0" w:color="auto"/>
      </w:divBdr>
    </w:div>
    <w:div w:id="755444212">
      <w:bodyDiv w:val="1"/>
      <w:marLeft w:val="0"/>
      <w:marRight w:val="0"/>
      <w:marTop w:val="0"/>
      <w:marBottom w:val="0"/>
      <w:divBdr>
        <w:top w:val="none" w:sz="0" w:space="0" w:color="auto"/>
        <w:left w:val="none" w:sz="0" w:space="0" w:color="auto"/>
        <w:bottom w:val="none" w:sz="0" w:space="0" w:color="auto"/>
        <w:right w:val="none" w:sz="0" w:space="0" w:color="auto"/>
      </w:divBdr>
    </w:div>
    <w:div w:id="758991550">
      <w:bodyDiv w:val="1"/>
      <w:marLeft w:val="0"/>
      <w:marRight w:val="0"/>
      <w:marTop w:val="0"/>
      <w:marBottom w:val="0"/>
      <w:divBdr>
        <w:top w:val="none" w:sz="0" w:space="0" w:color="auto"/>
        <w:left w:val="none" w:sz="0" w:space="0" w:color="auto"/>
        <w:bottom w:val="none" w:sz="0" w:space="0" w:color="auto"/>
        <w:right w:val="none" w:sz="0" w:space="0" w:color="auto"/>
      </w:divBdr>
    </w:div>
    <w:div w:id="759373652">
      <w:bodyDiv w:val="1"/>
      <w:marLeft w:val="0"/>
      <w:marRight w:val="0"/>
      <w:marTop w:val="0"/>
      <w:marBottom w:val="0"/>
      <w:divBdr>
        <w:top w:val="none" w:sz="0" w:space="0" w:color="auto"/>
        <w:left w:val="none" w:sz="0" w:space="0" w:color="auto"/>
        <w:bottom w:val="none" w:sz="0" w:space="0" w:color="auto"/>
        <w:right w:val="none" w:sz="0" w:space="0" w:color="auto"/>
      </w:divBdr>
    </w:div>
    <w:div w:id="761217599">
      <w:bodyDiv w:val="1"/>
      <w:marLeft w:val="0"/>
      <w:marRight w:val="0"/>
      <w:marTop w:val="0"/>
      <w:marBottom w:val="0"/>
      <w:divBdr>
        <w:top w:val="none" w:sz="0" w:space="0" w:color="auto"/>
        <w:left w:val="none" w:sz="0" w:space="0" w:color="auto"/>
        <w:bottom w:val="none" w:sz="0" w:space="0" w:color="auto"/>
        <w:right w:val="none" w:sz="0" w:space="0" w:color="auto"/>
      </w:divBdr>
    </w:div>
    <w:div w:id="767851350">
      <w:bodyDiv w:val="1"/>
      <w:marLeft w:val="0"/>
      <w:marRight w:val="0"/>
      <w:marTop w:val="0"/>
      <w:marBottom w:val="0"/>
      <w:divBdr>
        <w:top w:val="none" w:sz="0" w:space="0" w:color="auto"/>
        <w:left w:val="none" w:sz="0" w:space="0" w:color="auto"/>
        <w:bottom w:val="none" w:sz="0" w:space="0" w:color="auto"/>
        <w:right w:val="none" w:sz="0" w:space="0" w:color="auto"/>
      </w:divBdr>
    </w:div>
    <w:div w:id="770006280">
      <w:bodyDiv w:val="1"/>
      <w:marLeft w:val="0"/>
      <w:marRight w:val="0"/>
      <w:marTop w:val="0"/>
      <w:marBottom w:val="0"/>
      <w:divBdr>
        <w:top w:val="none" w:sz="0" w:space="0" w:color="auto"/>
        <w:left w:val="none" w:sz="0" w:space="0" w:color="auto"/>
        <w:bottom w:val="none" w:sz="0" w:space="0" w:color="auto"/>
        <w:right w:val="none" w:sz="0" w:space="0" w:color="auto"/>
      </w:divBdr>
    </w:div>
    <w:div w:id="775950923">
      <w:bodyDiv w:val="1"/>
      <w:marLeft w:val="0"/>
      <w:marRight w:val="0"/>
      <w:marTop w:val="0"/>
      <w:marBottom w:val="0"/>
      <w:divBdr>
        <w:top w:val="none" w:sz="0" w:space="0" w:color="auto"/>
        <w:left w:val="none" w:sz="0" w:space="0" w:color="auto"/>
        <w:bottom w:val="none" w:sz="0" w:space="0" w:color="auto"/>
        <w:right w:val="none" w:sz="0" w:space="0" w:color="auto"/>
      </w:divBdr>
    </w:div>
    <w:div w:id="783112602">
      <w:bodyDiv w:val="1"/>
      <w:marLeft w:val="0"/>
      <w:marRight w:val="0"/>
      <w:marTop w:val="0"/>
      <w:marBottom w:val="0"/>
      <w:divBdr>
        <w:top w:val="none" w:sz="0" w:space="0" w:color="auto"/>
        <w:left w:val="none" w:sz="0" w:space="0" w:color="auto"/>
        <w:bottom w:val="none" w:sz="0" w:space="0" w:color="auto"/>
        <w:right w:val="none" w:sz="0" w:space="0" w:color="auto"/>
      </w:divBdr>
      <w:divsChild>
        <w:div w:id="490491447">
          <w:marLeft w:val="360"/>
          <w:marRight w:val="0"/>
          <w:marTop w:val="82"/>
          <w:marBottom w:val="0"/>
          <w:divBdr>
            <w:top w:val="none" w:sz="0" w:space="0" w:color="auto"/>
            <w:left w:val="none" w:sz="0" w:space="0" w:color="auto"/>
            <w:bottom w:val="none" w:sz="0" w:space="0" w:color="auto"/>
            <w:right w:val="none" w:sz="0" w:space="0" w:color="auto"/>
          </w:divBdr>
        </w:div>
        <w:div w:id="673802206">
          <w:marLeft w:val="360"/>
          <w:marRight w:val="0"/>
          <w:marTop w:val="82"/>
          <w:marBottom w:val="0"/>
          <w:divBdr>
            <w:top w:val="none" w:sz="0" w:space="0" w:color="auto"/>
            <w:left w:val="none" w:sz="0" w:space="0" w:color="auto"/>
            <w:bottom w:val="none" w:sz="0" w:space="0" w:color="auto"/>
            <w:right w:val="none" w:sz="0" w:space="0" w:color="auto"/>
          </w:divBdr>
        </w:div>
        <w:div w:id="824782832">
          <w:marLeft w:val="360"/>
          <w:marRight w:val="0"/>
          <w:marTop w:val="82"/>
          <w:marBottom w:val="0"/>
          <w:divBdr>
            <w:top w:val="none" w:sz="0" w:space="0" w:color="auto"/>
            <w:left w:val="none" w:sz="0" w:space="0" w:color="auto"/>
            <w:bottom w:val="none" w:sz="0" w:space="0" w:color="auto"/>
            <w:right w:val="none" w:sz="0" w:space="0" w:color="auto"/>
          </w:divBdr>
        </w:div>
        <w:div w:id="1157260299">
          <w:marLeft w:val="360"/>
          <w:marRight w:val="0"/>
          <w:marTop w:val="82"/>
          <w:marBottom w:val="0"/>
          <w:divBdr>
            <w:top w:val="none" w:sz="0" w:space="0" w:color="auto"/>
            <w:left w:val="none" w:sz="0" w:space="0" w:color="auto"/>
            <w:bottom w:val="none" w:sz="0" w:space="0" w:color="auto"/>
            <w:right w:val="none" w:sz="0" w:space="0" w:color="auto"/>
          </w:divBdr>
        </w:div>
      </w:divsChild>
    </w:div>
    <w:div w:id="793449993">
      <w:bodyDiv w:val="1"/>
      <w:marLeft w:val="0"/>
      <w:marRight w:val="0"/>
      <w:marTop w:val="0"/>
      <w:marBottom w:val="0"/>
      <w:divBdr>
        <w:top w:val="none" w:sz="0" w:space="0" w:color="auto"/>
        <w:left w:val="none" w:sz="0" w:space="0" w:color="auto"/>
        <w:bottom w:val="none" w:sz="0" w:space="0" w:color="auto"/>
        <w:right w:val="none" w:sz="0" w:space="0" w:color="auto"/>
      </w:divBdr>
    </w:div>
    <w:div w:id="798962236">
      <w:bodyDiv w:val="1"/>
      <w:marLeft w:val="0"/>
      <w:marRight w:val="0"/>
      <w:marTop w:val="0"/>
      <w:marBottom w:val="0"/>
      <w:divBdr>
        <w:top w:val="none" w:sz="0" w:space="0" w:color="auto"/>
        <w:left w:val="none" w:sz="0" w:space="0" w:color="auto"/>
        <w:bottom w:val="none" w:sz="0" w:space="0" w:color="auto"/>
        <w:right w:val="none" w:sz="0" w:space="0" w:color="auto"/>
      </w:divBdr>
    </w:div>
    <w:div w:id="809906331">
      <w:bodyDiv w:val="1"/>
      <w:marLeft w:val="0"/>
      <w:marRight w:val="0"/>
      <w:marTop w:val="0"/>
      <w:marBottom w:val="0"/>
      <w:divBdr>
        <w:top w:val="none" w:sz="0" w:space="0" w:color="auto"/>
        <w:left w:val="none" w:sz="0" w:space="0" w:color="auto"/>
        <w:bottom w:val="none" w:sz="0" w:space="0" w:color="auto"/>
        <w:right w:val="none" w:sz="0" w:space="0" w:color="auto"/>
      </w:divBdr>
    </w:div>
    <w:div w:id="813717129">
      <w:bodyDiv w:val="1"/>
      <w:marLeft w:val="0"/>
      <w:marRight w:val="0"/>
      <w:marTop w:val="0"/>
      <w:marBottom w:val="0"/>
      <w:divBdr>
        <w:top w:val="none" w:sz="0" w:space="0" w:color="auto"/>
        <w:left w:val="none" w:sz="0" w:space="0" w:color="auto"/>
        <w:bottom w:val="none" w:sz="0" w:space="0" w:color="auto"/>
        <w:right w:val="none" w:sz="0" w:space="0" w:color="auto"/>
      </w:divBdr>
    </w:div>
    <w:div w:id="817847673">
      <w:bodyDiv w:val="1"/>
      <w:marLeft w:val="0"/>
      <w:marRight w:val="0"/>
      <w:marTop w:val="0"/>
      <w:marBottom w:val="0"/>
      <w:divBdr>
        <w:top w:val="none" w:sz="0" w:space="0" w:color="auto"/>
        <w:left w:val="none" w:sz="0" w:space="0" w:color="auto"/>
        <w:bottom w:val="none" w:sz="0" w:space="0" w:color="auto"/>
        <w:right w:val="none" w:sz="0" w:space="0" w:color="auto"/>
      </w:divBdr>
    </w:div>
    <w:div w:id="822282854">
      <w:bodyDiv w:val="1"/>
      <w:marLeft w:val="0"/>
      <w:marRight w:val="0"/>
      <w:marTop w:val="0"/>
      <w:marBottom w:val="0"/>
      <w:divBdr>
        <w:top w:val="none" w:sz="0" w:space="0" w:color="auto"/>
        <w:left w:val="none" w:sz="0" w:space="0" w:color="auto"/>
        <w:bottom w:val="none" w:sz="0" w:space="0" w:color="auto"/>
        <w:right w:val="none" w:sz="0" w:space="0" w:color="auto"/>
      </w:divBdr>
    </w:div>
    <w:div w:id="822625447">
      <w:bodyDiv w:val="1"/>
      <w:marLeft w:val="0"/>
      <w:marRight w:val="0"/>
      <w:marTop w:val="0"/>
      <w:marBottom w:val="0"/>
      <w:divBdr>
        <w:top w:val="none" w:sz="0" w:space="0" w:color="auto"/>
        <w:left w:val="none" w:sz="0" w:space="0" w:color="auto"/>
        <w:bottom w:val="none" w:sz="0" w:space="0" w:color="auto"/>
        <w:right w:val="none" w:sz="0" w:space="0" w:color="auto"/>
      </w:divBdr>
    </w:div>
    <w:div w:id="830412002">
      <w:bodyDiv w:val="1"/>
      <w:marLeft w:val="0"/>
      <w:marRight w:val="0"/>
      <w:marTop w:val="0"/>
      <w:marBottom w:val="0"/>
      <w:divBdr>
        <w:top w:val="none" w:sz="0" w:space="0" w:color="auto"/>
        <w:left w:val="none" w:sz="0" w:space="0" w:color="auto"/>
        <w:bottom w:val="none" w:sz="0" w:space="0" w:color="auto"/>
        <w:right w:val="none" w:sz="0" w:space="0" w:color="auto"/>
      </w:divBdr>
    </w:div>
    <w:div w:id="833565035">
      <w:bodyDiv w:val="1"/>
      <w:marLeft w:val="0"/>
      <w:marRight w:val="0"/>
      <w:marTop w:val="0"/>
      <w:marBottom w:val="0"/>
      <w:divBdr>
        <w:top w:val="none" w:sz="0" w:space="0" w:color="auto"/>
        <w:left w:val="none" w:sz="0" w:space="0" w:color="auto"/>
        <w:bottom w:val="none" w:sz="0" w:space="0" w:color="auto"/>
        <w:right w:val="none" w:sz="0" w:space="0" w:color="auto"/>
      </w:divBdr>
    </w:div>
    <w:div w:id="834342815">
      <w:bodyDiv w:val="1"/>
      <w:marLeft w:val="0"/>
      <w:marRight w:val="0"/>
      <w:marTop w:val="0"/>
      <w:marBottom w:val="0"/>
      <w:divBdr>
        <w:top w:val="none" w:sz="0" w:space="0" w:color="auto"/>
        <w:left w:val="none" w:sz="0" w:space="0" w:color="auto"/>
        <w:bottom w:val="none" w:sz="0" w:space="0" w:color="auto"/>
        <w:right w:val="none" w:sz="0" w:space="0" w:color="auto"/>
      </w:divBdr>
    </w:div>
    <w:div w:id="844637973">
      <w:bodyDiv w:val="1"/>
      <w:marLeft w:val="0"/>
      <w:marRight w:val="0"/>
      <w:marTop w:val="0"/>
      <w:marBottom w:val="0"/>
      <w:divBdr>
        <w:top w:val="none" w:sz="0" w:space="0" w:color="auto"/>
        <w:left w:val="none" w:sz="0" w:space="0" w:color="auto"/>
        <w:bottom w:val="none" w:sz="0" w:space="0" w:color="auto"/>
        <w:right w:val="none" w:sz="0" w:space="0" w:color="auto"/>
      </w:divBdr>
    </w:div>
    <w:div w:id="847794643">
      <w:bodyDiv w:val="1"/>
      <w:marLeft w:val="0"/>
      <w:marRight w:val="0"/>
      <w:marTop w:val="0"/>
      <w:marBottom w:val="0"/>
      <w:divBdr>
        <w:top w:val="none" w:sz="0" w:space="0" w:color="auto"/>
        <w:left w:val="none" w:sz="0" w:space="0" w:color="auto"/>
        <w:bottom w:val="none" w:sz="0" w:space="0" w:color="auto"/>
        <w:right w:val="none" w:sz="0" w:space="0" w:color="auto"/>
      </w:divBdr>
    </w:div>
    <w:div w:id="859051765">
      <w:bodyDiv w:val="1"/>
      <w:marLeft w:val="0"/>
      <w:marRight w:val="0"/>
      <w:marTop w:val="0"/>
      <w:marBottom w:val="0"/>
      <w:divBdr>
        <w:top w:val="none" w:sz="0" w:space="0" w:color="auto"/>
        <w:left w:val="none" w:sz="0" w:space="0" w:color="auto"/>
        <w:bottom w:val="none" w:sz="0" w:space="0" w:color="auto"/>
        <w:right w:val="none" w:sz="0" w:space="0" w:color="auto"/>
      </w:divBdr>
    </w:div>
    <w:div w:id="883517331">
      <w:bodyDiv w:val="1"/>
      <w:marLeft w:val="0"/>
      <w:marRight w:val="0"/>
      <w:marTop w:val="0"/>
      <w:marBottom w:val="0"/>
      <w:divBdr>
        <w:top w:val="none" w:sz="0" w:space="0" w:color="auto"/>
        <w:left w:val="none" w:sz="0" w:space="0" w:color="auto"/>
        <w:bottom w:val="none" w:sz="0" w:space="0" w:color="auto"/>
        <w:right w:val="none" w:sz="0" w:space="0" w:color="auto"/>
      </w:divBdr>
    </w:div>
    <w:div w:id="888346638">
      <w:bodyDiv w:val="1"/>
      <w:marLeft w:val="0"/>
      <w:marRight w:val="0"/>
      <w:marTop w:val="0"/>
      <w:marBottom w:val="0"/>
      <w:divBdr>
        <w:top w:val="none" w:sz="0" w:space="0" w:color="auto"/>
        <w:left w:val="none" w:sz="0" w:space="0" w:color="auto"/>
        <w:bottom w:val="none" w:sz="0" w:space="0" w:color="auto"/>
        <w:right w:val="none" w:sz="0" w:space="0" w:color="auto"/>
      </w:divBdr>
    </w:div>
    <w:div w:id="890767336">
      <w:bodyDiv w:val="1"/>
      <w:marLeft w:val="0"/>
      <w:marRight w:val="0"/>
      <w:marTop w:val="0"/>
      <w:marBottom w:val="0"/>
      <w:divBdr>
        <w:top w:val="none" w:sz="0" w:space="0" w:color="auto"/>
        <w:left w:val="none" w:sz="0" w:space="0" w:color="auto"/>
        <w:bottom w:val="none" w:sz="0" w:space="0" w:color="auto"/>
        <w:right w:val="none" w:sz="0" w:space="0" w:color="auto"/>
      </w:divBdr>
    </w:div>
    <w:div w:id="900560386">
      <w:bodyDiv w:val="1"/>
      <w:marLeft w:val="0"/>
      <w:marRight w:val="0"/>
      <w:marTop w:val="0"/>
      <w:marBottom w:val="0"/>
      <w:divBdr>
        <w:top w:val="none" w:sz="0" w:space="0" w:color="auto"/>
        <w:left w:val="none" w:sz="0" w:space="0" w:color="auto"/>
        <w:bottom w:val="none" w:sz="0" w:space="0" w:color="auto"/>
        <w:right w:val="none" w:sz="0" w:space="0" w:color="auto"/>
      </w:divBdr>
    </w:div>
    <w:div w:id="907769827">
      <w:bodyDiv w:val="1"/>
      <w:marLeft w:val="0"/>
      <w:marRight w:val="0"/>
      <w:marTop w:val="0"/>
      <w:marBottom w:val="0"/>
      <w:divBdr>
        <w:top w:val="none" w:sz="0" w:space="0" w:color="auto"/>
        <w:left w:val="none" w:sz="0" w:space="0" w:color="auto"/>
        <w:bottom w:val="none" w:sz="0" w:space="0" w:color="auto"/>
        <w:right w:val="none" w:sz="0" w:space="0" w:color="auto"/>
      </w:divBdr>
    </w:div>
    <w:div w:id="912081547">
      <w:bodyDiv w:val="1"/>
      <w:marLeft w:val="0"/>
      <w:marRight w:val="0"/>
      <w:marTop w:val="0"/>
      <w:marBottom w:val="0"/>
      <w:divBdr>
        <w:top w:val="none" w:sz="0" w:space="0" w:color="auto"/>
        <w:left w:val="none" w:sz="0" w:space="0" w:color="auto"/>
        <w:bottom w:val="none" w:sz="0" w:space="0" w:color="auto"/>
        <w:right w:val="none" w:sz="0" w:space="0" w:color="auto"/>
      </w:divBdr>
    </w:div>
    <w:div w:id="915240999">
      <w:bodyDiv w:val="1"/>
      <w:marLeft w:val="0"/>
      <w:marRight w:val="0"/>
      <w:marTop w:val="0"/>
      <w:marBottom w:val="0"/>
      <w:divBdr>
        <w:top w:val="none" w:sz="0" w:space="0" w:color="auto"/>
        <w:left w:val="none" w:sz="0" w:space="0" w:color="auto"/>
        <w:bottom w:val="none" w:sz="0" w:space="0" w:color="auto"/>
        <w:right w:val="none" w:sz="0" w:space="0" w:color="auto"/>
      </w:divBdr>
    </w:div>
    <w:div w:id="931430219">
      <w:bodyDiv w:val="1"/>
      <w:marLeft w:val="0"/>
      <w:marRight w:val="0"/>
      <w:marTop w:val="0"/>
      <w:marBottom w:val="0"/>
      <w:divBdr>
        <w:top w:val="none" w:sz="0" w:space="0" w:color="auto"/>
        <w:left w:val="none" w:sz="0" w:space="0" w:color="auto"/>
        <w:bottom w:val="none" w:sz="0" w:space="0" w:color="auto"/>
        <w:right w:val="none" w:sz="0" w:space="0" w:color="auto"/>
      </w:divBdr>
    </w:div>
    <w:div w:id="933515108">
      <w:bodyDiv w:val="1"/>
      <w:marLeft w:val="0"/>
      <w:marRight w:val="0"/>
      <w:marTop w:val="0"/>
      <w:marBottom w:val="0"/>
      <w:divBdr>
        <w:top w:val="none" w:sz="0" w:space="0" w:color="auto"/>
        <w:left w:val="none" w:sz="0" w:space="0" w:color="auto"/>
        <w:bottom w:val="none" w:sz="0" w:space="0" w:color="auto"/>
        <w:right w:val="none" w:sz="0" w:space="0" w:color="auto"/>
      </w:divBdr>
    </w:div>
    <w:div w:id="943029609">
      <w:bodyDiv w:val="1"/>
      <w:marLeft w:val="0"/>
      <w:marRight w:val="0"/>
      <w:marTop w:val="0"/>
      <w:marBottom w:val="0"/>
      <w:divBdr>
        <w:top w:val="none" w:sz="0" w:space="0" w:color="auto"/>
        <w:left w:val="none" w:sz="0" w:space="0" w:color="auto"/>
        <w:bottom w:val="none" w:sz="0" w:space="0" w:color="auto"/>
        <w:right w:val="none" w:sz="0" w:space="0" w:color="auto"/>
      </w:divBdr>
    </w:div>
    <w:div w:id="947853422">
      <w:bodyDiv w:val="1"/>
      <w:marLeft w:val="0"/>
      <w:marRight w:val="0"/>
      <w:marTop w:val="0"/>
      <w:marBottom w:val="0"/>
      <w:divBdr>
        <w:top w:val="none" w:sz="0" w:space="0" w:color="auto"/>
        <w:left w:val="none" w:sz="0" w:space="0" w:color="auto"/>
        <w:bottom w:val="none" w:sz="0" w:space="0" w:color="auto"/>
        <w:right w:val="none" w:sz="0" w:space="0" w:color="auto"/>
      </w:divBdr>
    </w:div>
    <w:div w:id="949970156">
      <w:bodyDiv w:val="1"/>
      <w:marLeft w:val="0"/>
      <w:marRight w:val="0"/>
      <w:marTop w:val="0"/>
      <w:marBottom w:val="0"/>
      <w:divBdr>
        <w:top w:val="none" w:sz="0" w:space="0" w:color="auto"/>
        <w:left w:val="none" w:sz="0" w:space="0" w:color="auto"/>
        <w:bottom w:val="none" w:sz="0" w:space="0" w:color="auto"/>
        <w:right w:val="none" w:sz="0" w:space="0" w:color="auto"/>
      </w:divBdr>
    </w:div>
    <w:div w:id="959262304">
      <w:bodyDiv w:val="1"/>
      <w:marLeft w:val="0"/>
      <w:marRight w:val="0"/>
      <w:marTop w:val="0"/>
      <w:marBottom w:val="0"/>
      <w:divBdr>
        <w:top w:val="none" w:sz="0" w:space="0" w:color="auto"/>
        <w:left w:val="none" w:sz="0" w:space="0" w:color="auto"/>
        <w:bottom w:val="none" w:sz="0" w:space="0" w:color="auto"/>
        <w:right w:val="none" w:sz="0" w:space="0" w:color="auto"/>
      </w:divBdr>
    </w:div>
    <w:div w:id="960259477">
      <w:bodyDiv w:val="1"/>
      <w:marLeft w:val="0"/>
      <w:marRight w:val="0"/>
      <w:marTop w:val="0"/>
      <w:marBottom w:val="0"/>
      <w:divBdr>
        <w:top w:val="none" w:sz="0" w:space="0" w:color="auto"/>
        <w:left w:val="none" w:sz="0" w:space="0" w:color="auto"/>
        <w:bottom w:val="none" w:sz="0" w:space="0" w:color="auto"/>
        <w:right w:val="none" w:sz="0" w:space="0" w:color="auto"/>
      </w:divBdr>
    </w:div>
    <w:div w:id="971447014">
      <w:bodyDiv w:val="1"/>
      <w:marLeft w:val="0"/>
      <w:marRight w:val="0"/>
      <w:marTop w:val="0"/>
      <w:marBottom w:val="0"/>
      <w:divBdr>
        <w:top w:val="none" w:sz="0" w:space="0" w:color="auto"/>
        <w:left w:val="none" w:sz="0" w:space="0" w:color="auto"/>
        <w:bottom w:val="none" w:sz="0" w:space="0" w:color="auto"/>
        <w:right w:val="none" w:sz="0" w:space="0" w:color="auto"/>
      </w:divBdr>
    </w:div>
    <w:div w:id="974145531">
      <w:bodyDiv w:val="1"/>
      <w:marLeft w:val="0"/>
      <w:marRight w:val="0"/>
      <w:marTop w:val="0"/>
      <w:marBottom w:val="0"/>
      <w:divBdr>
        <w:top w:val="none" w:sz="0" w:space="0" w:color="auto"/>
        <w:left w:val="none" w:sz="0" w:space="0" w:color="auto"/>
        <w:bottom w:val="none" w:sz="0" w:space="0" w:color="auto"/>
        <w:right w:val="none" w:sz="0" w:space="0" w:color="auto"/>
      </w:divBdr>
    </w:div>
    <w:div w:id="985086369">
      <w:bodyDiv w:val="1"/>
      <w:marLeft w:val="0"/>
      <w:marRight w:val="0"/>
      <w:marTop w:val="0"/>
      <w:marBottom w:val="0"/>
      <w:divBdr>
        <w:top w:val="none" w:sz="0" w:space="0" w:color="auto"/>
        <w:left w:val="none" w:sz="0" w:space="0" w:color="auto"/>
        <w:bottom w:val="none" w:sz="0" w:space="0" w:color="auto"/>
        <w:right w:val="none" w:sz="0" w:space="0" w:color="auto"/>
      </w:divBdr>
    </w:div>
    <w:div w:id="986473052">
      <w:bodyDiv w:val="1"/>
      <w:marLeft w:val="0"/>
      <w:marRight w:val="0"/>
      <w:marTop w:val="0"/>
      <w:marBottom w:val="0"/>
      <w:divBdr>
        <w:top w:val="none" w:sz="0" w:space="0" w:color="auto"/>
        <w:left w:val="none" w:sz="0" w:space="0" w:color="auto"/>
        <w:bottom w:val="none" w:sz="0" w:space="0" w:color="auto"/>
        <w:right w:val="none" w:sz="0" w:space="0" w:color="auto"/>
      </w:divBdr>
    </w:div>
    <w:div w:id="993096860">
      <w:bodyDiv w:val="1"/>
      <w:marLeft w:val="0"/>
      <w:marRight w:val="0"/>
      <w:marTop w:val="0"/>
      <w:marBottom w:val="0"/>
      <w:divBdr>
        <w:top w:val="none" w:sz="0" w:space="0" w:color="auto"/>
        <w:left w:val="none" w:sz="0" w:space="0" w:color="auto"/>
        <w:bottom w:val="none" w:sz="0" w:space="0" w:color="auto"/>
        <w:right w:val="none" w:sz="0" w:space="0" w:color="auto"/>
      </w:divBdr>
    </w:div>
    <w:div w:id="999432391">
      <w:bodyDiv w:val="1"/>
      <w:marLeft w:val="0"/>
      <w:marRight w:val="0"/>
      <w:marTop w:val="0"/>
      <w:marBottom w:val="0"/>
      <w:divBdr>
        <w:top w:val="none" w:sz="0" w:space="0" w:color="auto"/>
        <w:left w:val="none" w:sz="0" w:space="0" w:color="auto"/>
        <w:bottom w:val="none" w:sz="0" w:space="0" w:color="auto"/>
        <w:right w:val="none" w:sz="0" w:space="0" w:color="auto"/>
      </w:divBdr>
    </w:div>
    <w:div w:id="1008366729">
      <w:bodyDiv w:val="1"/>
      <w:marLeft w:val="0"/>
      <w:marRight w:val="0"/>
      <w:marTop w:val="0"/>
      <w:marBottom w:val="0"/>
      <w:divBdr>
        <w:top w:val="none" w:sz="0" w:space="0" w:color="auto"/>
        <w:left w:val="none" w:sz="0" w:space="0" w:color="auto"/>
        <w:bottom w:val="none" w:sz="0" w:space="0" w:color="auto"/>
        <w:right w:val="none" w:sz="0" w:space="0" w:color="auto"/>
      </w:divBdr>
    </w:div>
    <w:div w:id="1012338756">
      <w:bodyDiv w:val="1"/>
      <w:marLeft w:val="0"/>
      <w:marRight w:val="0"/>
      <w:marTop w:val="0"/>
      <w:marBottom w:val="0"/>
      <w:divBdr>
        <w:top w:val="none" w:sz="0" w:space="0" w:color="auto"/>
        <w:left w:val="none" w:sz="0" w:space="0" w:color="auto"/>
        <w:bottom w:val="none" w:sz="0" w:space="0" w:color="auto"/>
        <w:right w:val="none" w:sz="0" w:space="0" w:color="auto"/>
      </w:divBdr>
    </w:div>
    <w:div w:id="1016689110">
      <w:bodyDiv w:val="1"/>
      <w:marLeft w:val="0"/>
      <w:marRight w:val="0"/>
      <w:marTop w:val="0"/>
      <w:marBottom w:val="0"/>
      <w:divBdr>
        <w:top w:val="none" w:sz="0" w:space="0" w:color="auto"/>
        <w:left w:val="none" w:sz="0" w:space="0" w:color="auto"/>
        <w:bottom w:val="none" w:sz="0" w:space="0" w:color="auto"/>
        <w:right w:val="none" w:sz="0" w:space="0" w:color="auto"/>
      </w:divBdr>
    </w:div>
    <w:div w:id="1021273485">
      <w:bodyDiv w:val="1"/>
      <w:marLeft w:val="0"/>
      <w:marRight w:val="0"/>
      <w:marTop w:val="0"/>
      <w:marBottom w:val="0"/>
      <w:divBdr>
        <w:top w:val="none" w:sz="0" w:space="0" w:color="auto"/>
        <w:left w:val="none" w:sz="0" w:space="0" w:color="auto"/>
        <w:bottom w:val="none" w:sz="0" w:space="0" w:color="auto"/>
        <w:right w:val="none" w:sz="0" w:space="0" w:color="auto"/>
      </w:divBdr>
    </w:div>
    <w:div w:id="1037661452">
      <w:bodyDiv w:val="1"/>
      <w:marLeft w:val="0"/>
      <w:marRight w:val="0"/>
      <w:marTop w:val="0"/>
      <w:marBottom w:val="0"/>
      <w:divBdr>
        <w:top w:val="none" w:sz="0" w:space="0" w:color="auto"/>
        <w:left w:val="none" w:sz="0" w:space="0" w:color="auto"/>
        <w:bottom w:val="none" w:sz="0" w:space="0" w:color="auto"/>
        <w:right w:val="none" w:sz="0" w:space="0" w:color="auto"/>
      </w:divBdr>
    </w:div>
    <w:div w:id="1038965907">
      <w:bodyDiv w:val="1"/>
      <w:marLeft w:val="0"/>
      <w:marRight w:val="0"/>
      <w:marTop w:val="0"/>
      <w:marBottom w:val="0"/>
      <w:divBdr>
        <w:top w:val="none" w:sz="0" w:space="0" w:color="auto"/>
        <w:left w:val="none" w:sz="0" w:space="0" w:color="auto"/>
        <w:bottom w:val="none" w:sz="0" w:space="0" w:color="auto"/>
        <w:right w:val="none" w:sz="0" w:space="0" w:color="auto"/>
      </w:divBdr>
    </w:div>
    <w:div w:id="1040059238">
      <w:bodyDiv w:val="1"/>
      <w:marLeft w:val="0"/>
      <w:marRight w:val="0"/>
      <w:marTop w:val="0"/>
      <w:marBottom w:val="0"/>
      <w:divBdr>
        <w:top w:val="none" w:sz="0" w:space="0" w:color="auto"/>
        <w:left w:val="none" w:sz="0" w:space="0" w:color="auto"/>
        <w:bottom w:val="none" w:sz="0" w:space="0" w:color="auto"/>
        <w:right w:val="none" w:sz="0" w:space="0" w:color="auto"/>
      </w:divBdr>
    </w:div>
    <w:div w:id="1046105249">
      <w:bodyDiv w:val="1"/>
      <w:marLeft w:val="0"/>
      <w:marRight w:val="0"/>
      <w:marTop w:val="0"/>
      <w:marBottom w:val="0"/>
      <w:divBdr>
        <w:top w:val="none" w:sz="0" w:space="0" w:color="auto"/>
        <w:left w:val="none" w:sz="0" w:space="0" w:color="auto"/>
        <w:bottom w:val="none" w:sz="0" w:space="0" w:color="auto"/>
        <w:right w:val="none" w:sz="0" w:space="0" w:color="auto"/>
      </w:divBdr>
    </w:div>
    <w:div w:id="1059016099">
      <w:bodyDiv w:val="1"/>
      <w:marLeft w:val="0"/>
      <w:marRight w:val="0"/>
      <w:marTop w:val="0"/>
      <w:marBottom w:val="0"/>
      <w:divBdr>
        <w:top w:val="none" w:sz="0" w:space="0" w:color="auto"/>
        <w:left w:val="none" w:sz="0" w:space="0" w:color="auto"/>
        <w:bottom w:val="none" w:sz="0" w:space="0" w:color="auto"/>
        <w:right w:val="none" w:sz="0" w:space="0" w:color="auto"/>
      </w:divBdr>
    </w:div>
    <w:div w:id="1109399230">
      <w:bodyDiv w:val="1"/>
      <w:marLeft w:val="0"/>
      <w:marRight w:val="0"/>
      <w:marTop w:val="0"/>
      <w:marBottom w:val="0"/>
      <w:divBdr>
        <w:top w:val="none" w:sz="0" w:space="0" w:color="auto"/>
        <w:left w:val="none" w:sz="0" w:space="0" w:color="auto"/>
        <w:bottom w:val="none" w:sz="0" w:space="0" w:color="auto"/>
        <w:right w:val="none" w:sz="0" w:space="0" w:color="auto"/>
      </w:divBdr>
    </w:div>
    <w:div w:id="1112825656">
      <w:bodyDiv w:val="1"/>
      <w:marLeft w:val="0"/>
      <w:marRight w:val="0"/>
      <w:marTop w:val="0"/>
      <w:marBottom w:val="0"/>
      <w:divBdr>
        <w:top w:val="none" w:sz="0" w:space="0" w:color="auto"/>
        <w:left w:val="none" w:sz="0" w:space="0" w:color="auto"/>
        <w:bottom w:val="none" w:sz="0" w:space="0" w:color="auto"/>
        <w:right w:val="none" w:sz="0" w:space="0" w:color="auto"/>
      </w:divBdr>
    </w:div>
    <w:div w:id="1122386283">
      <w:bodyDiv w:val="1"/>
      <w:marLeft w:val="0"/>
      <w:marRight w:val="0"/>
      <w:marTop w:val="0"/>
      <w:marBottom w:val="0"/>
      <w:divBdr>
        <w:top w:val="none" w:sz="0" w:space="0" w:color="auto"/>
        <w:left w:val="none" w:sz="0" w:space="0" w:color="auto"/>
        <w:bottom w:val="none" w:sz="0" w:space="0" w:color="auto"/>
        <w:right w:val="none" w:sz="0" w:space="0" w:color="auto"/>
      </w:divBdr>
    </w:div>
    <w:div w:id="1132140577">
      <w:bodyDiv w:val="1"/>
      <w:marLeft w:val="0"/>
      <w:marRight w:val="0"/>
      <w:marTop w:val="0"/>
      <w:marBottom w:val="0"/>
      <w:divBdr>
        <w:top w:val="none" w:sz="0" w:space="0" w:color="auto"/>
        <w:left w:val="none" w:sz="0" w:space="0" w:color="auto"/>
        <w:bottom w:val="none" w:sz="0" w:space="0" w:color="auto"/>
        <w:right w:val="none" w:sz="0" w:space="0" w:color="auto"/>
      </w:divBdr>
    </w:div>
    <w:div w:id="1133065260">
      <w:bodyDiv w:val="1"/>
      <w:marLeft w:val="0"/>
      <w:marRight w:val="0"/>
      <w:marTop w:val="0"/>
      <w:marBottom w:val="0"/>
      <w:divBdr>
        <w:top w:val="none" w:sz="0" w:space="0" w:color="auto"/>
        <w:left w:val="none" w:sz="0" w:space="0" w:color="auto"/>
        <w:bottom w:val="none" w:sz="0" w:space="0" w:color="auto"/>
        <w:right w:val="none" w:sz="0" w:space="0" w:color="auto"/>
      </w:divBdr>
    </w:div>
    <w:div w:id="1135635578">
      <w:bodyDiv w:val="1"/>
      <w:marLeft w:val="0"/>
      <w:marRight w:val="0"/>
      <w:marTop w:val="0"/>
      <w:marBottom w:val="0"/>
      <w:divBdr>
        <w:top w:val="none" w:sz="0" w:space="0" w:color="auto"/>
        <w:left w:val="none" w:sz="0" w:space="0" w:color="auto"/>
        <w:bottom w:val="none" w:sz="0" w:space="0" w:color="auto"/>
        <w:right w:val="none" w:sz="0" w:space="0" w:color="auto"/>
      </w:divBdr>
    </w:div>
    <w:div w:id="1142964381">
      <w:bodyDiv w:val="1"/>
      <w:marLeft w:val="0"/>
      <w:marRight w:val="0"/>
      <w:marTop w:val="0"/>
      <w:marBottom w:val="0"/>
      <w:divBdr>
        <w:top w:val="none" w:sz="0" w:space="0" w:color="auto"/>
        <w:left w:val="none" w:sz="0" w:space="0" w:color="auto"/>
        <w:bottom w:val="none" w:sz="0" w:space="0" w:color="auto"/>
        <w:right w:val="none" w:sz="0" w:space="0" w:color="auto"/>
      </w:divBdr>
    </w:div>
    <w:div w:id="1145046979">
      <w:bodyDiv w:val="1"/>
      <w:marLeft w:val="0"/>
      <w:marRight w:val="0"/>
      <w:marTop w:val="0"/>
      <w:marBottom w:val="0"/>
      <w:divBdr>
        <w:top w:val="none" w:sz="0" w:space="0" w:color="auto"/>
        <w:left w:val="none" w:sz="0" w:space="0" w:color="auto"/>
        <w:bottom w:val="none" w:sz="0" w:space="0" w:color="auto"/>
        <w:right w:val="none" w:sz="0" w:space="0" w:color="auto"/>
      </w:divBdr>
    </w:div>
    <w:div w:id="1155415669">
      <w:bodyDiv w:val="1"/>
      <w:marLeft w:val="0"/>
      <w:marRight w:val="0"/>
      <w:marTop w:val="0"/>
      <w:marBottom w:val="0"/>
      <w:divBdr>
        <w:top w:val="none" w:sz="0" w:space="0" w:color="auto"/>
        <w:left w:val="none" w:sz="0" w:space="0" w:color="auto"/>
        <w:bottom w:val="none" w:sz="0" w:space="0" w:color="auto"/>
        <w:right w:val="none" w:sz="0" w:space="0" w:color="auto"/>
      </w:divBdr>
    </w:div>
    <w:div w:id="1157384845">
      <w:bodyDiv w:val="1"/>
      <w:marLeft w:val="0"/>
      <w:marRight w:val="0"/>
      <w:marTop w:val="0"/>
      <w:marBottom w:val="0"/>
      <w:divBdr>
        <w:top w:val="none" w:sz="0" w:space="0" w:color="auto"/>
        <w:left w:val="none" w:sz="0" w:space="0" w:color="auto"/>
        <w:bottom w:val="none" w:sz="0" w:space="0" w:color="auto"/>
        <w:right w:val="none" w:sz="0" w:space="0" w:color="auto"/>
      </w:divBdr>
    </w:div>
    <w:div w:id="1157454649">
      <w:bodyDiv w:val="1"/>
      <w:marLeft w:val="0"/>
      <w:marRight w:val="0"/>
      <w:marTop w:val="0"/>
      <w:marBottom w:val="0"/>
      <w:divBdr>
        <w:top w:val="none" w:sz="0" w:space="0" w:color="auto"/>
        <w:left w:val="none" w:sz="0" w:space="0" w:color="auto"/>
        <w:bottom w:val="none" w:sz="0" w:space="0" w:color="auto"/>
        <w:right w:val="none" w:sz="0" w:space="0" w:color="auto"/>
      </w:divBdr>
    </w:div>
    <w:div w:id="1161891078">
      <w:bodyDiv w:val="1"/>
      <w:marLeft w:val="0"/>
      <w:marRight w:val="0"/>
      <w:marTop w:val="0"/>
      <w:marBottom w:val="0"/>
      <w:divBdr>
        <w:top w:val="none" w:sz="0" w:space="0" w:color="auto"/>
        <w:left w:val="none" w:sz="0" w:space="0" w:color="auto"/>
        <w:bottom w:val="none" w:sz="0" w:space="0" w:color="auto"/>
        <w:right w:val="none" w:sz="0" w:space="0" w:color="auto"/>
      </w:divBdr>
    </w:div>
    <w:div w:id="1171485900">
      <w:bodyDiv w:val="1"/>
      <w:marLeft w:val="0"/>
      <w:marRight w:val="0"/>
      <w:marTop w:val="0"/>
      <w:marBottom w:val="0"/>
      <w:divBdr>
        <w:top w:val="none" w:sz="0" w:space="0" w:color="auto"/>
        <w:left w:val="none" w:sz="0" w:space="0" w:color="auto"/>
        <w:bottom w:val="none" w:sz="0" w:space="0" w:color="auto"/>
        <w:right w:val="none" w:sz="0" w:space="0" w:color="auto"/>
      </w:divBdr>
    </w:div>
    <w:div w:id="1187140427">
      <w:bodyDiv w:val="1"/>
      <w:marLeft w:val="0"/>
      <w:marRight w:val="0"/>
      <w:marTop w:val="0"/>
      <w:marBottom w:val="0"/>
      <w:divBdr>
        <w:top w:val="none" w:sz="0" w:space="0" w:color="auto"/>
        <w:left w:val="none" w:sz="0" w:space="0" w:color="auto"/>
        <w:bottom w:val="none" w:sz="0" w:space="0" w:color="auto"/>
        <w:right w:val="none" w:sz="0" w:space="0" w:color="auto"/>
      </w:divBdr>
    </w:div>
    <w:div w:id="1210652839">
      <w:bodyDiv w:val="1"/>
      <w:marLeft w:val="0"/>
      <w:marRight w:val="0"/>
      <w:marTop w:val="0"/>
      <w:marBottom w:val="0"/>
      <w:divBdr>
        <w:top w:val="none" w:sz="0" w:space="0" w:color="auto"/>
        <w:left w:val="none" w:sz="0" w:space="0" w:color="auto"/>
        <w:bottom w:val="none" w:sz="0" w:space="0" w:color="auto"/>
        <w:right w:val="none" w:sz="0" w:space="0" w:color="auto"/>
      </w:divBdr>
    </w:div>
    <w:div w:id="1214542161">
      <w:bodyDiv w:val="1"/>
      <w:marLeft w:val="0"/>
      <w:marRight w:val="0"/>
      <w:marTop w:val="0"/>
      <w:marBottom w:val="0"/>
      <w:divBdr>
        <w:top w:val="none" w:sz="0" w:space="0" w:color="auto"/>
        <w:left w:val="none" w:sz="0" w:space="0" w:color="auto"/>
        <w:bottom w:val="none" w:sz="0" w:space="0" w:color="auto"/>
        <w:right w:val="none" w:sz="0" w:space="0" w:color="auto"/>
      </w:divBdr>
    </w:div>
    <w:div w:id="1224025279">
      <w:bodyDiv w:val="1"/>
      <w:marLeft w:val="0"/>
      <w:marRight w:val="0"/>
      <w:marTop w:val="0"/>
      <w:marBottom w:val="0"/>
      <w:divBdr>
        <w:top w:val="none" w:sz="0" w:space="0" w:color="auto"/>
        <w:left w:val="none" w:sz="0" w:space="0" w:color="auto"/>
        <w:bottom w:val="none" w:sz="0" w:space="0" w:color="auto"/>
        <w:right w:val="none" w:sz="0" w:space="0" w:color="auto"/>
      </w:divBdr>
    </w:div>
    <w:div w:id="1240556445">
      <w:bodyDiv w:val="1"/>
      <w:marLeft w:val="0"/>
      <w:marRight w:val="0"/>
      <w:marTop w:val="0"/>
      <w:marBottom w:val="0"/>
      <w:divBdr>
        <w:top w:val="none" w:sz="0" w:space="0" w:color="auto"/>
        <w:left w:val="none" w:sz="0" w:space="0" w:color="auto"/>
        <w:bottom w:val="none" w:sz="0" w:space="0" w:color="auto"/>
        <w:right w:val="none" w:sz="0" w:space="0" w:color="auto"/>
      </w:divBdr>
    </w:div>
    <w:div w:id="1247306433">
      <w:bodyDiv w:val="1"/>
      <w:marLeft w:val="0"/>
      <w:marRight w:val="0"/>
      <w:marTop w:val="0"/>
      <w:marBottom w:val="0"/>
      <w:divBdr>
        <w:top w:val="none" w:sz="0" w:space="0" w:color="auto"/>
        <w:left w:val="none" w:sz="0" w:space="0" w:color="auto"/>
        <w:bottom w:val="none" w:sz="0" w:space="0" w:color="auto"/>
        <w:right w:val="none" w:sz="0" w:space="0" w:color="auto"/>
      </w:divBdr>
    </w:div>
    <w:div w:id="1247374773">
      <w:bodyDiv w:val="1"/>
      <w:marLeft w:val="0"/>
      <w:marRight w:val="0"/>
      <w:marTop w:val="0"/>
      <w:marBottom w:val="0"/>
      <w:divBdr>
        <w:top w:val="none" w:sz="0" w:space="0" w:color="auto"/>
        <w:left w:val="none" w:sz="0" w:space="0" w:color="auto"/>
        <w:bottom w:val="none" w:sz="0" w:space="0" w:color="auto"/>
        <w:right w:val="none" w:sz="0" w:space="0" w:color="auto"/>
      </w:divBdr>
    </w:div>
    <w:div w:id="1248071971">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71009395">
      <w:bodyDiv w:val="1"/>
      <w:marLeft w:val="0"/>
      <w:marRight w:val="0"/>
      <w:marTop w:val="0"/>
      <w:marBottom w:val="0"/>
      <w:divBdr>
        <w:top w:val="none" w:sz="0" w:space="0" w:color="auto"/>
        <w:left w:val="none" w:sz="0" w:space="0" w:color="auto"/>
        <w:bottom w:val="none" w:sz="0" w:space="0" w:color="auto"/>
        <w:right w:val="none" w:sz="0" w:space="0" w:color="auto"/>
      </w:divBdr>
    </w:div>
    <w:div w:id="1278294734">
      <w:bodyDiv w:val="1"/>
      <w:marLeft w:val="0"/>
      <w:marRight w:val="0"/>
      <w:marTop w:val="0"/>
      <w:marBottom w:val="0"/>
      <w:divBdr>
        <w:top w:val="none" w:sz="0" w:space="0" w:color="auto"/>
        <w:left w:val="none" w:sz="0" w:space="0" w:color="auto"/>
        <w:bottom w:val="none" w:sz="0" w:space="0" w:color="auto"/>
        <w:right w:val="none" w:sz="0" w:space="0" w:color="auto"/>
      </w:divBdr>
    </w:div>
    <w:div w:id="1283151813">
      <w:bodyDiv w:val="1"/>
      <w:marLeft w:val="0"/>
      <w:marRight w:val="0"/>
      <w:marTop w:val="0"/>
      <w:marBottom w:val="0"/>
      <w:divBdr>
        <w:top w:val="none" w:sz="0" w:space="0" w:color="auto"/>
        <w:left w:val="none" w:sz="0" w:space="0" w:color="auto"/>
        <w:bottom w:val="none" w:sz="0" w:space="0" w:color="auto"/>
        <w:right w:val="none" w:sz="0" w:space="0" w:color="auto"/>
      </w:divBdr>
    </w:div>
    <w:div w:id="1286620881">
      <w:bodyDiv w:val="1"/>
      <w:marLeft w:val="0"/>
      <w:marRight w:val="0"/>
      <w:marTop w:val="0"/>
      <w:marBottom w:val="0"/>
      <w:divBdr>
        <w:top w:val="none" w:sz="0" w:space="0" w:color="auto"/>
        <w:left w:val="none" w:sz="0" w:space="0" w:color="auto"/>
        <w:bottom w:val="none" w:sz="0" w:space="0" w:color="auto"/>
        <w:right w:val="none" w:sz="0" w:space="0" w:color="auto"/>
      </w:divBdr>
    </w:div>
    <w:div w:id="1290239518">
      <w:bodyDiv w:val="1"/>
      <w:marLeft w:val="0"/>
      <w:marRight w:val="0"/>
      <w:marTop w:val="0"/>
      <w:marBottom w:val="0"/>
      <w:divBdr>
        <w:top w:val="none" w:sz="0" w:space="0" w:color="auto"/>
        <w:left w:val="none" w:sz="0" w:space="0" w:color="auto"/>
        <w:bottom w:val="none" w:sz="0" w:space="0" w:color="auto"/>
        <w:right w:val="none" w:sz="0" w:space="0" w:color="auto"/>
      </w:divBdr>
    </w:div>
    <w:div w:id="1290628868">
      <w:bodyDiv w:val="1"/>
      <w:marLeft w:val="0"/>
      <w:marRight w:val="0"/>
      <w:marTop w:val="0"/>
      <w:marBottom w:val="0"/>
      <w:divBdr>
        <w:top w:val="none" w:sz="0" w:space="0" w:color="auto"/>
        <w:left w:val="none" w:sz="0" w:space="0" w:color="auto"/>
        <w:bottom w:val="none" w:sz="0" w:space="0" w:color="auto"/>
        <w:right w:val="none" w:sz="0" w:space="0" w:color="auto"/>
      </w:divBdr>
    </w:div>
    <w:div w:id="1299413952">
      <w:bodyDiv w:val="1"/>
      <w:marLeft w:val="0"/>
      <w:marRight w:val="0"/>
      <w:marTop w:val="0"/>
      <w:marBottom w:val="0"/>
      <w:divBdr>
        <w:top w:val="none" w:sz="0" w:space="0" w:color="auto"/>
        <w:left w:val="none" w:sz="0" w:space="0" w:color="auto"/>
        <w:bottom w:val="none" w:sz="0" w:space="0" w:color="auto"/>
        <w:right w:val="none" w:sz="0" w:space="0" w:color="auto"/>
      </w:divBdr>
    </w:div>
    <w:div w:id="1301152838">
      <w:bodyDiv w:val="1"/>
      <w:marLeft w:val="0"/>
      <w:marRight w:val="0"/>
      <w:marTop w:val="0"/>
      <w:marBottom w:val="0"/>
      <w:divBdr>
        <w:top w:val="none" w:sz="0" w:space="0" w:color="auto"/>
        <w:left w:val="none" w:sz="0" w:space="0" w:color="auto"/>
        <w:bottom w:val="none" w:sz="0" w:space="0" w:color="auto"/>
        <w:right w:val="none" w:sz="0" w:space="0" w:color="auto"/>
      </w:divBdr>
    </w:div>
    <w:div w:id="1312707441">
      <w:bodyDiv w:val="1"/>
      <w:marLeft w:val="0"/>
      <w:marRight w:val="0"/>
      <w:marTop w:val="0"/>
      <w:marBottom w:val="0"/>
      <w:divBdr>
        <w:top w:val="none" w:sz="0" w:space="0" w:color="auto"/>
        <w:left w:val="none" w:sz="0" w:space="0" w:color="auto"/>
        <w:bottom w:val="none" w:sz="0" w:space="0" w:color="auto"/>
        <w:right w:val="none" w:sz="0" w:space="0" w:color="auto"/>
      </w:divBdr>
    </w:div>
    <w:div w:id="1314791913">
      <w:bodyDiv w:val="1"/>
      <w:marLeft w:val="0"/>
      <w:marRight w:val="0"/>
      <w:marTop w:val="0"/>
      <w:marBottom w:val="0"/>
      <w:divBdr>
        <w:top w:val="none" w:sz="0" w:space="0" w:color="auto"/>
        <w:left w:val="none" w:sz="0" w:space="0" w:color="auto"/>
        <w:bottom w:val="none" w:sz="0" w:space="0" w:color="auto"/>
        <w:right w:val="none" w:sz="0" w:space="0" w:color="auto"/>
      </w:divBdr>
    </w:div>
    <w:div w:id="1316952968">
      <w:bodyDiv w:val="1"/>
      <w:marLeft w:val="0"/>
      <w:marRight w:val="0"/>
      <w:marTop w:val="0"/>
      <w:marBottom w:val="0"/>
      <w:divBdr>
        <w:top w:val="none" w:sz="0" w:space="0" w:color="auto"/>
        <w:left w:val="none" w:sz="0" w:space="0" w:color="auto"/>
        <w:bottom w:val="none" w:sz="0" w:space="0" w:color="auto"/>
        <w:right w:val="none" w:sz="0" w:space="0" w:color="auto"/>
      </w:divBdr>
    </w:div>
    <w:div w:id="1341008017">
      <w:bodyDiv w:val="1"/>
      <w:marLeft w:val="0"/>
      <w:marRight w:val="0"/>
      <w:marTop w:val="0"/>
      <w:marBottom w:val="0"/>
      <w:divBdr>
        <w:top w:val="none" w:sz="0" w:space="0" w:color="auto"/>
        <w:left w:val="none" w:sz="0" w:space="0" w:color="auto"/>
        <w:bottom w:val="none" w:sz="0" w:space="0" w:color="auto"/>
        <w:right w:val="none" w:sz="0" w:space="0" w:color="auto"/>
      </w:divBdr>
    </w:div>
    <w:div w:id="1343434144">
      <w:bodyDiv w:val="1"/>
      <w:marLeft w:val="0"/>
      <w:marRight w:val="0"/>
      <w:marTop w:val="0"/>
      <w:marBottom w:val="0"/>
      <w:divBdr>
        <w:top w:val="none" w:sz="0" w:space="0" w:color="auto"/>
        <w:left w:val="none" w:sz="0" w:space="0" w:color="auto"/>
        <w:bottom w:val="none" w:sz="0" w:space="0" w:color="auto"/>
        <w:right w:val="none" w:sz="0" w:space="0" w:color="auto"/>
      </w:divBdr>
    </w:div>
    <w:div w:id="1346712988">
      <w:bodyDiv w:val="1"/>
      <w:marLeft w:val="0"/>
      <w:marRight w:val="0"/>
      <w:marTop w:val="0"/>
      <w:marBottom w:val="0"/>
      <w:divBdr>
        <w:top w:val="none" w:sz="0" w:space="0" w:color="auto"/>
        <w:left w:val="none" w:sz="0" w:space="0" w:color="auto"/>
        <w:bottom w:val="none" w:sz="0" w:space="0" w:color="auto"/>
        <w:right w:val="none" w:sz="0" w:space="0" w:color="auto"/>
      </w:divBdr>
    </w:div>
    <w:div w:id="1361322529">
      <w:bodyDiv w:val="1"/>
      <w:marLeft w:val="0"/>
      <w:marRight w:val="0"/>
      <w:marTop w:val="0"/>
      <w:marBottom w:val="0"/>
      <w:divBdr>
        <w:top w:val="none" w:sz="0" w:space="0" w:color="auto"/>
        <w:left w:val="none" w:sz="0" w:space="0" w:color="auto"/>
        <w:bottom w:val="none" w:sz="0" w:space="0" w:color="auto"/>
        <w:right w:val="none" w:sz="0" w:space="0" w:color="auto"/>
      </w:divBdr>
    </w:div>
    <w:div w:id="1362436074">
      <w:bodyDiv w:val="1"/>
      <w:marLeft w:val="0"/>
      <w:marRight w:val="0"/>
      <w:marTop w:val="0"/>
      <w:marBottom w:val="0"/>
      <w:divBdr>
        <w:top w:val="none" w:sz="0" w:space="0" w:color="auto"/>
        <w:left w:val="none" w:sz="0" w:space="0" w:color="auto"/>
        <w:bottom w:val="none" w:sz="0" w:space="0" w:color="auto"/>
        <w:right w:val="none" w:sz="0" w:space="0" w:color="auto"/>
      </w:divBdr>
    </w:div>
    <w:div w:id="1367175287">
      <w:bodyDiv w:val="1"/>
      <w:marLeft w:val="0"/>
      <w:marRight w:val="0"/>
      <w:marTop w:val="0"/>
      <w:marBottom w:val="0"/>
      <w:divBdr>
        <w:top w:val="none" w:sz="0" w:space="0" w:color="auto"/>
        <w:left w:val="none" w:sz="0" w:space="0" w:color="auto"/>
        <w:bottom w:val="none" w:sz="0" w:space="0" w:color="auto"/>
        <w:right w:val="none" w:sz="0" w:space="0" w:color="auto"/>
      </w:divBdr>
    </w:div>
    <w:div w:id="1373504576">
      <w:bodyDiv w:val="1"/>
      <w:marLeft w:val="0"/>
      <w:marRight w:val="0"/>
      <w:marTop w:val="0"/>
      <w:marBottom w:val="0"/>
      <w:divBdr>
        <w:top w:val="none" w:sz="0" w:space="0" w:color="auto"/>
        <w:left w:val="none" w:sz="0" w:space="0" w:color="auto"/>
        <w:bottom w:val="none" w:sz="0" w:space="0" w:color="auto"/>
        <w:right w:val="none" w:sz="0" w:space="0" w:color="auto"/>
      </w:divBdr>
    </w:div>
    <w:div w:id="1381439310">
      <w:bodyDiv w:val="1"/>
      <w:marLeft w:val="0"/>
      <w:marRight w:val="0"/>
      <w:marTop w:val="0"/>
      <w:marBottom w:val="0"/>
      <w:divBdr>
        <w:top w:val="none" w:sz="0" w:space="0" w:color="auto"/>
        <w:left w:val="none" w:sz="0" w:space="0" w:color="auto"/>
        <w:bottom w:val="none" w:sz="0" w:space="0" w:color="auto"/>
        <w:right w:val="none" w:sz="0" w:space="0" w:color="auto"/>
      </w:divBdr>
    </w:div>
    <w:div w:id="1383363009">
      <w:bodyDiv w:val="1"/>
      <w:marLeft w:val="0"/>
      <w:marRight w:val="0"/>
      <w:marTop w:val="0"/>
      <w:marBottom w:val="0"/>
      <w:divBdr>
        <w:top w:val="none" w:sz="0" w:space="0" w:color="auto"/>
        <w:left w:val="none" w:sz="0" w:space="0" w:color="auto"/>
        <w:bottom w:val="none" w:sz="0" w:space="0" w:color="auto"/>
        <w:right w:val="none" w:sz="0" w:space="0" w:color="auto"/>
      </w:divBdr>
    </w:div>
    <w:div w:id="1386415850">
      <w:bodyDiv w:val="1"/>
      <w:marLeft w:val="0"/>
      <w:marRight w:val="0"/>
      <w:marTop w:val="0"/>
      <w:marBottom w:val="0"/>
      <w:divBdr>
        <w:top w:val="none" w:sz="0" w:space="0" w:color="auto"/>
        <w:left w:val="none" w:sz="0" w:space="0" w:color="auto"/>
        <w:bottom w:val="none" w:sz="0" w:space="0" w:color="auto"/>
        <w:right w:val="none" w:sz="0" w:space="0" w:color="auto"/>
      </w:divBdr>
    </w:div>
    <w:div w:id="1391029445">
      <w:bodyDiv w:val="1"/>
      <w:marLeft w:val="0"/>
      <w:marRight w:val="0"/>
      <w:marTop w:val="0"/>
      <w:marBottom w:val="0"/>
      <w:divBdr>
        <w:top w:val="none" w:sz="0" w:space="0" w:color="auto"/>
        <w:left w:val="none" w:sz="0" w:space="0" w:color="auto"/>
        <w:bottom w:val="none" w:sz="0" w:space="0" w:color="auto"/>
        <w:right w:val="none" w:sz="0" w:space="0" w:color="auto"/>
      </w:divBdr>
    </w:div>
    <w:div w:id="1391229593">
      <w:bodyDiv w:val="1"/>
      <w:marLeft w:val="0"/>
      <w:marRight w:val="0"/>
      <w:marTop w:val="0"/>
      <w:marBottom w:val="0"/>
      <w:divBdr>
        <w:top w:val="none" w:sz="0" w:space="0" w:color="auto"/>
        <w:left w:val="none" w:sz="0" w:space="0" w:color="auto"/>
        <w:bottom w:val="none" w:sz="0" w:space="0" w:color="auto"/>
        <w:right w:val="none" w:sz="0" w:space="0" w:color="auto"/>
      </w:divBdr>
    </w:div>
    <w:div w:id="1393384664">
      <w:bodyDiv w:val="1"/>
      <w:marLeft w:val="0"/>
      <w:marRight w:val="0"/>
      <w:marTop w:val="0"/>
      <w:marBottom w:val="0"/>
      <w:divBdr>
        <w:top w:val="none" w:sz="0" w:space="0" w:color="auto"/>
        <w:left w:val="none" w:sz="0" w:space="0" w:color="auto"/>
        <w:bottom w:val="none" w:sz="0" w:space="0" w:color="auto"/>
        <w:right w:val="none" w:sz="0" w:space="0" w:color="auto"/>
      </w:divBdr>
    </w:div>
    <w:div w:id="1400984057">
      <w:bodyDiv w:val="1"/>
      <w:marLeft w:val="0"/>
      <w:marRight w:val="0"/>
      <w:marTop w:val="0"/>
      <w:marBottom w:val="0"/>
      <w:divBdr>
        <w:top w:val="none" w:sz="0" w:space="0" w:color="auto"/>
        <w:left w:val="none" w:sz="0" w:space="0" w:color="auto"/>
        <w:bottom w:val="none" w:sz="0" w:space="0" w:color="auto"/>
        <w:right w:val="none" w:sz="0" w:space="0" w:color="auto"/>
      </w:divBdr>
    </w:div>
    <w:div w:id="1401051091">
      <w:bodyDiv w:val="1"/>
      <w:marLeft w:val="0"/>
      <w:marRight w:val="0"/>
      <w:marTop w:val="0"/>
      <w:marBottom w:val="0"/>
      <w:divBdr>
        <w:top w:val="none" w:sz="0" w:space="0" w:color="auto"/>
        <w:left w:val="none" w:sz="0" w:space="0" w:color="auto"/>
        <w:bottom w:val="none" w:sz="0" w:space="0" w:color="auto"/>
        <w:right w:val="none" w:sz="0" w:space="0" w:color="auto"/>
      </w:divBdr>
    </w:div>
    <w:div w:id="1404520807">
      <w:bodyDiv w:val="1"/>
      <w:marLeft w:val="0"/>
      <w:marRight w:val="0"/>
      <w:marTop w:val="0"/>
      <w:marBottom w:val="0"/>
      <w:divBdr>
        <w:top w:val="none" w:sz="0" w:space="0" w:color="auto"/>
        <w:left w:val="none" w:sz="0" w:space="0" w:color="auto"/>
        <w:bottom w:val="none" w:sz="0" w:space="0" w:color="auto"/>
        <w:right w:val="none" w:sz="0" w:space="0" w:color="auto"/>
      </w:divBdr>
    </w:div>
    <w:div w:id="1409226957">
      <w:bodyDiv w:val="1"/>
      <w:marLeft w:val="0"/>
      <w:marRight w:val="0"/>
      <w:marTop w:val="0"/>
      <w:marBottom w:val="0"/>
      <w:divBdr>
        <w:top w:val="none" w:sz="0" w:space="0" w:color="auto"/>
        <w:left w:val="none" w:sz="0" w:space="0" w:color="auto"/>
        <w:bottom w:val="none" w:sz="0" w:space="0" w:color="auto"/>
        <w:right w:val="none" w:sz="0" w:space="0" w:color="auto"/>
      </w:divBdr>
    </w:div>
    <w:div w:id="1435398595">
      <w:bodyDiv w:val="1"/>
      <w:marLeft w:val="0"/>
      <w:marRight w:val="0"/>
      <w:marTop w:val="0"/>
      <w:marBottom w:val="0"/>
      <w:divBdr>
        <w:top w:val="none" w:sz="0" w:space="0" w:color="auto"/>
        <w:left w:val="none" w:sz="0" w:space="0" w:color="auto"/>
        <w:bottom w:val="none" w:sz="0" w:space="0" w:color="auto"/>
        <w:right w:val="none" w:sz="0" w:space="0" w:color="auto"/>
      </w:divBdr>
    </w:div>
    <w:div w:id="1438989501">
      <w:bodyDiv w:val="1"/>
      <w:marLeft w:val="0"/>
      <w:marRight w:val="0"/>
      <w:marTop w:val="0"/>
      <w:marBottom w:val="0"/>
      <w:divBdr>
        <w:top w:val="none" w:sz="0" w:space="0" w:color="auto"/>
        <w:left w:val="none" w:sz="0" w:space="0" w:color="auto"/>
        <w:bottom w:val="none" w:sz="0" w:space="0" w:color="auto"/>
        <w:right w:val="none" w:sz="0" w:space="0" w:color="auto"/>
      </w:divBdr>
    </w:div>
    <w:div w:id="1439565571">
      <w:bodyDiv w:val="1"/>
      <w:marLeft w:val="0"/>
      <w:marRight w:val="0"/>
      <w:marTop w:val="0"/>
      <w:marBottom w:val="0"/>
      <w:divBdr>
        <w:top w:val="none" w:sz="0" w:space="0" w:color="auto"/>
        <w:left w:val="none" w:sz="0" w:space="0" w:color="auto"/>
        <w:bottom w:val="none" w:sz="0" w:space="0" w:color="auto"/>
        <w:right w:val="none" w:sz="0" w:space="0" w:color="auto"/>
      </w:divBdr>
    </w:div>
    <w:div w:id="1440756964">
      <w:bodyDiv w:val="1"/>
      <w:marLeft w:val="0"/>
      <w:marRight w:val="0"/>
      <w:marTop w:val="0"/>
      <w:marBottom w:val="0"/>
      <w:divBdr>
        <w:top w:val="none" w:sz="0" w:space="0" w:color="auto"/>
        <w:left w:val="none" w:sz="0" w:space="0" w:color="auto"/>
        <w:bottom w:val="none" w:sz="0" w:space="0" w:color="auto"/>
        <w:right w:val="none" w:sz="0" w:space="0" w:color="auto"/>
      </w:divBdr>
    </w:div>
    <w:div w:id="1441295844">
      <w:bodyDiv w:val="1"/>
      <w:marLeft w:val="0"/>
      <w:marRight w:val="0"/>
      <w:marTop w:val="0"/>
      <w:marBottom w:val="0"/>
      <w:divBdr>
        <w:top w:val="none" w:sz="0" w:space="0" w:color="auto"/>
        <w:left w:val="none" w:sz="0" w:space="0" w:color="auto"/>
        <w:bottom w:val="none" w:sz="0" w:space="0" w:color="auto"/>
        <w:right w:val="none" w:sz="0" w:space="0" w:color="auto"/>
      </w:divBdr>
    </w:div>
    <w:div w:id="1455099183">
      <w:bodyDiv w:val="1"/>
      <w:marLeft w:val="0"/>
      <w:marRight w:val="0"/>
      <w:marTop w:val="0"/>
      <w:marBottom w:val="0"/>
      <w:divBdr>
        <w:top w:val="none" w:sz="0" w:space="0" w:color="auto"/>
        <w:left w:val="none" w:sz="0" w:space="0" w:color="auto"/>
        <w:bottom w:val="none" w:sz="0" w:space="0" w:color="auto"/>
        <w:right w:val="none" w:sz="0" w:space="0" w:color="auto"/>
      </w:divBdr>
    </w:div>
    <w:div w:id="1457407211">
      <w:bodyDiv w:val="1"/>
      <w:marLeft w:val="0"/>
      <w:marRight w:val="0"/>
      <w:marTop w:val="0"/>
      <w:marBottom w:val="0"/>
      <w:divBdr>
        <w:top w:val="none" w:sz="0" w:space="0" w:color="auto"/>
        <w:left w:val="none" w:sz="0" w:space="0" w:color="auto"/>
        <w:bottom w:val="none" w:sz="0" w:space="0" w:color="auto"/>
        <w:right w:val="none" w:sz="0" w:space="0" w:color="auto"/>
      </w:divBdr>
    </w:div>
    <w:div w:id="1458449191">
      <w:bodyDiv w:val="1"/>
      <w:marLeft w:val="0"/>
      <w:marRight w:val="0"/>
      <w:marTop w:val="0"/>
      <w:marBottom w:val="0"/>
      <w:divBdr>
        <w:top w:val="none" w:sz="0" w:space="0" w:color="auto"/>
        <w:left w:val="none" w:sz="0" w:space="0" w:color="auto"/>
        <w:bottom w:val="none" w:sz="0" w:space="0" w:color="auto"/>
        <w:right w:val="none" w:sz="0" w:space="0" w:color="auto"/>
      </w:divBdr>
    </w:div>
    <w:div w:id="1459257179">
      <w:bodyDiv w:val="1"/>
      <w:marLeft w:val="0"/>
      <w:marRight w:val="0"/>
      <w:marTop w:val="0"/>
      <w:marBottom w:val="0"/>
      <w:divBdr>
        <w:top w:val="none" w:sz="0" w:space="0" w:color="auto"/>
        <w:left w:val="none" w:sz="0" w:space="0" w:color="auto"/>
        <w:bottom w:val="none" w:sz="0" w:space="0" w:color="auto"/>
        <w:right w:val="none" w:sz="0" w:space="0" w:color="auto"/>
      </w:divBdr>
    </w:div>
    <w:div w:id="1465463673">
      <w:bodyDiv w:val="1"/>
      <w:marLeft w:val="0"/>
      <w:marRight w:val="0"/>
      <w:marTop w:val="0"/>
      <w:marBottom w:val="0"/>
      <w:divBdr>
        <w:top w:val="none" w:sz="0" w:space="0" w:color="auto"/>
        <w:left w:val="none" w:sz="0" w:space="0" w:color="auto"/>
        <w:bottom w:val="none" w:sz="0" w:space="0" w:color="auto"/>
        <w:right w:val="none" w:sz="0" w:space="0" w:color="auto"/>
      </w:divBdr>
    </w:div>
    <w:div w:id="1479612803">
      <w:bodyDiv w:val="1"/>
      <w:marLeft w:val="0"/>
      <w:marRight w:val="0"/>
      <w:marTop w:val="0"/>
      <w:marBottom w:val="0"/>
      <w:divBdr>
        <w:top w:val="none" w:sz="0" w:space="0" w:color="auto"/>
        <w:left w:val="none" w:sz="0" w:space="0" w:color="auto"/>
        <w:bottom w:val="none" w:sz="0" w:space="0" w:color="auto"/>
        <w:right w:val="none" w:sz="0" w:space="0" w:color="auto"/>
      </w:divBdr>
    </w:div>
    <w:div w:id="1482651500">
      <w:bodyDiv w:val="1"/>
      <w:marLeft w:val="0"/>
      <w:marRight w:val="0"/>
      <w:marTop w:val="0"/>
      <w:marBottom w:val="0"/>
      <w:divBdr>
        <w:top w:val="none" w:sz="0" w:space="0" w:color="auto"/>
        <w:left w:val="none" w:sz="0" w:space="0" w:color="auto"/>
        <w:bottom w:val="none" w:sz="0" w:space="0" w:color="auto"/>
        <w:right w:val="none" w:sz="0" w:space="0" w:color="auto"/>
      </w:divBdr>
    </w:div>
    <w:div w:id="1487477416">
      <w:bodyDiv w:val="1"/>
      <w:marLeft w:val="0"/>
      <w:marRight w:val="0"/>
      <w:marTop w:val="0"/>
      <w:marBottom w:val="0"/>
      <w:divBdr>
        <w:top w:val="none" w:sz="0" w:space="0" w:color="auto"/>
        <w:left w:val="none" w:sz="0" w:space="0" w:color="auto"/>
        <w:bottom w:val="none" w:sz="0" w:space="0" w:color="auto"/>
        <w:right w:val="none" w:sz="0" w:space="0" w:color="auto"/>
      </w:divBdr>
    </w:div>
    <w:div w:id="1490291704">
      <w:bodyDiv w:val="1"/>
      <w:marLeft w:val="0"/>
      <w:marRight w:val="0"/>
      <w:marTop w:val="0"/>
      <w:marBottom w:val="0"/>
      <w:divBdr>
        <w:top w:val="none" w:sz="0" w:space="0" w:color="auto"/>
        <w:left w:val="none" w:sz="0" w:space="0" w:color="auto"/>
        <w:bottom w:val="none" w:sz="0" w:space="0" w:color="auto"/>
        <w:right w:val="none" w:sz="0" w:space="0" w:color="auto"/>
      </w:divBdr>
    </w:div>
    <w:div w:id="1494418423">
      <w:bodyDiv w:val="1"/>
      <w:marLeft w:val="0"/>
      <w:marRight w:val="0"/>
      <w:marTop w:val="0"/>
      <w:marBottom w:val="0"/>
      <w:divBdr>
        <w:top w:val="none" w:sz="0" w:space="0" w:color="auto"/>
        <w:left w:val="none" w:sz="0" w:space="0" w:color="auto"/>
        <w:bottom w:val="none" w:sz="0" w:space="0" w:color="auto"/>
        <w:right w:val="none" w:sz="0" w:space="0" w:color="auto"/>
      </w:divBdr>
    </w:div>
    <w:div w:id="1527645216">
      <w:bodyDiv w:val="1"/>
      <w:marLeft w:val="0"/>
      <w:marRight w:val="0"/>
      <w:marTop w:val="0"/>
      <w:marBottom w:val="0"/>
      <w:divBdr>
        <w:top w:val="none" w:sz="0" w:space="0" w:color="auto"/>
        <w:left w:val="none" w:sz="0" w:space="0" w:color="auto"/>
        <w:bottom w:val="none" w:sz="0" w:space="0" w:color="auto"/>
        <w:right w:val="none" w:sz="0" w:space="0" w:color="auto"/>
      </w:divBdr>
    </w:div>
    <w:div w:id="1529298377">
      <w:bodyDiv w:val="1"/>
      <w:marLeft w:val="0"/>
      <w:marRight w:val="0"/>
      <w:marTop w:val="0"/>
      <w:marBottom w:val="0"/>
      <w:divBdr>
        <w:top w:val="none" w:sz="0" w:space="0" w:color="auto"/>
        <w:left w:val="none" w:sz="0" w:space="0" w:color="auto"/>
        <w:bottom w:val="none" w:sz="0" w:space="0" w:color="auto"/>
        <w:right w:val="none" w:sz="0" w:space="0" w:color="auto"/>
      </w:divBdr>
    </w:div>
    <w:div w:id="1541044041">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58592122">
      <w:bodyDiv w:val="1"/>
      <w:marLeft w:val="0"/>
      <w:marRight w:val="0"/>
      <w:marTop w:val="0"/>
      <w:marBottom w:val="0"/>
      <w:divBdr>
        <w:top w:val="none" w:sz="0" w:space="0" w:color="auto"/>
        <w:left w:val="none" w:sz="0" w:space="0" w:color="auto"/>
        <w:bottom w:val="none" w:sz="0" w:space="0" w:color="auto"/>
        <w:right w:val="none" w:sz="0" w:space="0" w:color="auto"/>
      </w:divBdr>
    </w:div>
    <w:div w:id="1561820697">
      <w:bodyDiv w:val="1"/>
      <w:marLeft w:val="0"/>
      <w:marRight w:val="0"/>
      <w:marTop w:val="0"/>
      <w:marBottom w:val="0"/>
      <w:divBdr>
        <w:top w:val="none" w:sz="0" w:space="0" w:color="auto"/>
        <w:left w:val="none" w:sz="0" w:space="0" w:color="auto"/>
        <w:bottom w:val="none" w:sz="0" w:space="0" w:color="auto"/>
        <w:right w:val="none" w:sz="0" w:space="0" w:color="auto"/>
      </w:divBdr>
    </w:div>
    <w:div w:id="1562247422">
      <w:bodyDiv w:val="1"/>
      <w:marLeft w:val="0"/>
      <w:marRight w:val="0"/>
      <w:marTop w:val="0"/>
      <w:marBottom w:val="0"/>
      <w:divBdr>
        <w:top w:val="none" w:sz="0" w:space="0" w:color="auto"/>
        <w:left w:val="none" w:sz="0" w:space="0" w:color="auto"/>
        <w:bottom w:val="none" w:sz="0" w:space="0" w:color="auto"/>
        <w:right w:val="none" w:sz="0" w:space="0" w:color="auto"/>
      </w:divBdr>
    </w:div>
    <w:div w:id="1570270203">
      <w:bodyDiv w:val="1"/>
      <w:marLeft w:val="0"/>
      <w:marRight w:val="0"/>
      <w:marTop w:val="0"/>
      <w:marBottom w:val="0"/>
      <w:divBdr>
        <w:top w:val="none" w:sz="0" w:space="0" w:color="auto"/>
        <w:left w:val="none" w:sz="0" w:space="0" w:color="auto"/>
        <w:bottom w:val="none" w:sz="0" w:space="0" w:color="auto"/>
        <w:right w:val="none" w:sz="0" w:space="0" w:color="auto"/>
      </w:divBdr>
    </w:div>
    <w:div w:id="1571114962">
      <w:bodyDiv w:val="1"/>
      <w:marLeft w:val="0"/>
      <w:marRight w:val="0"/>
      <w:marTop w:val="0"/>
      <w:marBottom w:val="0"/>
      <w:divBdr>
        <w:top w:val="none" w:sz="0" w:space="0" w:color="auto"/>
        <w:left w:val="none" w:sz="0" w:space="0" w:color="auto"/>
        <w:bottom w:val="none" w:sz="0" w:space="0" w:color="auto"/>
        <w:right w:val="none" w:sz="0" w:space="0" w:color="auto"/>
      </w:divBdr>
    </w:div>
    <w:div w:id="1575315419">
      <w:bodyDiv w:val="1"/>
      <w:marLeft w:val="0"/>
      <w:marRight w:val="0"/>
      <w:marTop w:val="0"/>
      <w:marBottom w:val="0"/>
      <w:divBdr>
        <w:top w:val="none" w:sz="0" w:space="0" w:color="auto"/>
        <w:left w:val="none" w:sz="0" w:space="0" w:color="auto"/>
        <w:bottom w:val="none" w:sz="0" w:space="0" w:color="auto"/>
        <w:right w:val="none" w:sz="0" w:space="0" w:color="auto"/>
      </w:divBdr>
    </w:div>
    <w:div w:id="1575780170">
      <w:bodyDiv w:val="1"/>
      <w:marLeft w:val="0"/>
      <w:marRight w:val="0"/>
      <w:marTop w:val="0"/>
      <w:marBottom w:val="0"/>
      <w:divBdr>
        <w:top w:val="none" w:sz="0" w:space="0" w:color="auto"/>
        <w:left w:val="none" w:sz="0" w:space="0" w:color="auto"/>
        <w:bottom w:val="none" w:sz="0" w:space="0" w:color="auto"/>
        <w:right w:val="none" w:sz="0" w:space="0" w:color="auto"/>
      </w:divBdr>
    </w:div>
    <w:div w:id="1583173524">
      <w:bodyDiv w:val="1"/>
      <w:marLeft w:val="0"/>
      <w:marRight w:val="0"/>
      <w:marTop w:val="0"/>
      <w:marBottom w:val="0"/>
      <w:divBdr>
        <w:top w:val="none" w:sz="0" w:space="0" w:color="auto"/>
        <w:left w:val="none" w:sz="0" w:space="0" w:color="auto"/>
        <w:bottom w:val="none" w:sz="0" w:space="0" w:color="auto"/>
        <w:right w:val="none" w:sz="0" w:space="0" w:color="auto"/>
      </w:divBdr>
    </w:div>
    <w:div w:id="1583686747">
      <w:bodyDiv w:val="1"/>
      <w:marLeft w:val="0"/>
      <w:marRight w:val="0"/>
      <w:marTop w:val="0"/>
      <w:marBottom w:val="0"/>
      <w:divBdr>
        <w:top w:val="none" w:sz="0" w:space="0" w:color="auto"/>
        <w:left w:val="none" w:sz="0" w:space="0" w:color="auto"/>
        <w:bottom w:val="none" w:sz="0" w:space="0" w:color="auto"/>
        <w:right w:val="none" w:sz="0" w:space="0" w:color="auto"/>
      </w:divBdr>
    </w:div>
    <w:div w:id="1585798706">
      <w:bodyDiv w:val="1"/>
      <w:marLeft w:val="0"/>
      <w:marRight w:val="0"/>
      <w:marTop w:val="0"/>
      <w:marBottom w:val="0"/>
      <w:divBdr>
        <w:top w:val="none" w:sz="0" w:space="0" w:color="auto"/>
        <w:left w:val="none" w:sz="0" w:space="0" w:color="auto"/>
        <w:bottom w:val="none" w:sz="0" w:space="0" w:color="auto"/>
        <w:right w:val="none" w:sz="0" w:space="0" w:color="auto"/>
      </w:divBdr>
    </w:div>
    <w:div w:id="1596404528">
      <w:bodyDiv w:val="1"/>
      <w:marLeft w:val="0"/>
      <w:marRight w:val="0"/>
      <w:marTop w:val="0"/>
      <w:marBottom w:val="0"/>
      <w:divBdr>
        <w:top w:val="none" w:sz="0" w:space="0" w:color="auto"/>
        <w:left w:val="none" w:sz="0" w:space="0" w:color="auto"/>
        <w:bottom w:val="none" w:sz="0" w:space="0" w:color="auto"/>
        <w:right w:val="none" w:sz="0" w:space="0" w:color="auto"/>
      </w:divBdr>
    </w:div>
    <w:div w:id="1596547625">
      <w:bodyDiv w:val="1"/>
      <w:marLeft w:val="0"/>
      <w:marRight w:val="0"/>
      <w:marTop w:val="0"/>
      <w:marBottom w:val="0"/>
      <w:divBdr>
        <w:top w:val="none" w:sz="0" w:space="0" w:color="auto"/>
        <w:left w:val="none" w:sz="0" w:space="0" w:color="auto"/>
        <w:bottom w:val="none" w:sz="0" w:space="0" w:color="auto"/>
        <w:right w:val="none" w:sz="0" w:space="0" w:color="auto"/>
      </w:divBdr>
    </w:div>
    <w:div w:id="1611932860">
      <w:bodyDiv w:val="1"/>
      <w:marLeft w:val="0"/>
      <w:marRight w:val="0"/>
      <w:marTop w:val="0"/>
      <w:marBottom w:val="0"/>
      <w:divBdr>
        <w:top w:val="none" w:sz="0" w:space="0" w:color="auto"/>
        <w:left w:val="none" w:sz="0" w:space="0" w:color="auto"/>
        <w:bottom w:val="none" w:sz="0" w:space="0" w:color="auto"/>
        <w:right w:val="none" w:sz="0" w:space="0" w:color="auto"/>
      </w:divBdr>
    </w:div>
    <w:div w:id="1620986868">
      <w:bodyDiv w:val="1"/>
      <w:marLeft w:val="0"/>
      <w:marRight w:val="0"/>
      <w:marTop w:val="0"/>
      <w:marBottom w:val="0"/>
      <w:divBdr>
        <w:top w:val="none" w:sz="0" w:space="0" w:color="auto"/>
        <w:left w:val="none" w:sz="0" w:space="0" w:color="auto"/>
        <w:bottom w:val="none" w:sz="0" w:space="0" w:color="auto"/>
        <w:right w:val="none" w:sz="0" w:space="0" w:color="auto"/>
      </w:divBdr>
    </w:div>
    <w:div w:id="1621064606">
      <w:bodyDiv w:val="1"/>
      <w:marLeft w:val="0"/>
      <w:marRight w:val="0"/>
      <w:marTop w:val="0"/>
      <w:marBottom w:val="0"/>
      <w:divBdr>
        <w:top w:val="none" w:sz="0" w:space="0" w:color="auto"/>
        <w:left w:val="none" w:sz="0" w:space="0" w:color="auto"/>
        <w:bottom w:val="none" w:sz="0" w:space="0" w:color="auto"/>
        <w:right w:val="none" w:sz="0" w:space="0" w:color="auto"/>
      </w:divBdr>
    </w:div>
    <w:div w:id="1626886217">
      <w:bodyDiv w:val="1"/>
      <w:marLeft w:val="0"/>
      <w:marRight w:val="0"/>
      <w:marTop w:val="0"/>
      <w:marBottom w:val="0"/>
      <w:divBdr>
        <w:top w:val="none" w:sz="0" w:space="0" w:color="auto"/>
        <w:left w:val="none" w:sz="0" w:space="0" w:color="auto"/>
        <w:bottom w:val="none" w:sz="0" w:space="0" w:color="auto"/>
        <w:right w:val="none" w:sz="0" w:space="0" w:color="auto"/>
      </w:divBdr>
    </w:div>
    <w:div w:id="1635716123">
      <w:bodyDiv w:val="1"/>
      <w:marLeft w:val="0"/>
      <w:marRight w:val="0"/>
      <w:marTop w:val="0"/>
      <w:marBottom w:val="0"/>
      <w:divBdr>
        <w:top w:val="none" w:sz="0" w:space="0" w:color="auto"/>
        <w:left w:val="none" w:sz="0" w:space="0" w:color="auto"/>
        <w:bottom w:val="none" w:sz="0" w:space="0" w:color="auto"/>
        <w:right w:val="none" w:sz="0" w:space="0" w:color="auto"/>
      </w:divBdr>
    </w:div>
    <w:div w:id="1640571954">
      <w:bodyDiv w:val="1"/>
      <w:marLeft w:val="0"/>
      <w:marRight w:val="0"/>
      <w:marTop w:val="0"/>
      <w:marBottom w:val="0"/>
      <w:divBdr>
        <w:top w:val="none" w:sz="0" w:space="0" w:color="auto"/>
        <w:left w:val="none" w:sz="0" w:space="0" w:color="auto"/>
        <w:bottom w:val="none" w:sz="0" w:space="0" w:color="auto"/>
        <w:right w:val="none" w:sz="0" w:space="0" w:color="auto"/>
      </w:divBdr>
    </w:div>
    <w:div w:id="1646739097">
      <w:bodyDiv w:val="1"/>
      <w:marLeft w:val="0"/>
      <w:marRight w:val="0"/>
      <w:marTop w:val="0"/>
      <w:marBottom w:val="0"/>
      <w:divBdr>
        <w:top w:val="none" w:sz="0" w:space="0" w:color="auto"/>
        <w:left w:val="none" w:sz="0" w:space="0" w:color="auto"/>
        <w:bottom w:val="none" w:sz="0" w:space="0" w:color="auto"/>
        <w:right w:val="none" w:sz="0" w:space="0" w:color="auto"/>
      </w:divBdr>
    </w:div>
    <w:div w:id="1656297689">
      <w:bodyDiv w:val="1"/>
      <w:marLeft w:val="0"/>
      <w:marRight w:val="0"/>
      <w:marTop w:val="0"/>
      <w:marBottom w:val="0"/>
      <w:divBdr>
        <w:top w:val="none" w:sz="0" w:space="0" w:color="auto"/>
        <w:left w:val="none" w:sz="0" w:space="0" w:color="auto"/>
        <w:bottom w:val="none" w:sz="0" w:space="0" w:color="auto"/>
        <w:right w:val="none" w:sz="0" w:space="0" w:color="auto"/>
      </w:divBdr>
    </w:div>
    <w:div w:id="1657412852">
      <w:bodyDiv w:val="1"/>
      <w:marLeft w:val="0"/>
      <w:marRight w:val="0"/>
      <w:marTop w:val="0"/>
      <w:marBottom w:val="0"/>
      <w:divBdr>
        <w:top w:val="none" w:sz="0" w:space="0" w:color="auto"/>
        <w:left w:val="none" w:sz="0" w:space="0" w:color="auto"/>
        <w:bottom w:val="none" w:sz="0" w:space="0" w:color="auto"/>
        <w:right w:val="none" w:sz="0" w:space="0" w:color="auto"/>
      </w:divBdr>
    </w:div>
    <w:div w:id="1659650448">
      <w:bodyDiv w:val="1"/>
      <w:marLeft w:val="0"/>
      <w:marRight w:val="0"/>
      <w:marTop w:val="0"/>
      <w:marBottom w:val="0"/>
      <w:divBdr>
        <w:top w:val="none" w:sz="0" w:space="0" w:color="auto"/>
        <w:left w:val="none" w:sz="0" w:space="0" w:color="auto"/>
        <w:bottom w:val="none" w:sz="0" w:space="0" w:color="auto"/>
        <w:right w:val="none" w:sz="0" w:space="0" w:color="auto"/>
      </w:divBdr>
    </w:div>
    <w:div w:id="1668242315">
      <w:bodyDiv w:val="1"/>
      <w:marLeft w:val="0"/>
      <w:marRight w:val="0"/>
      <w:marTop w:val="0"/>
      <w:marBottom w:val="0"/>
      <w:divBdr>
        <w:top w:val="none" w:sz="0" w:space="0" w:color="auto"/>
        <w:left w:val="none" w:sz="0" w:space="0" w:color="auto"/>
        <w:bottom w:val="none" w:sz="0" w:space="0" w:color="auto"/>
        <w:right w:val="none" w:sz="0" w:space="0" w:color="auto"/>
      </w:divBdr>
    </w:div>
    <w:div w:id="1673265669">
      <w:bodyDiv w:val="1"/>
      <w:marLeft w:val="0"/>
      <w:marRight w:val="0"/>
      <w:marTop w:val="0"/>
      <w:marBottom w:val="0"/>
      <w:divBdr>
        <w:top w:val="none" w:sz="0" w:space="0" w:color="auto"/>
        <w:left w:val="none" w:sz="0" w:space="0" w:color="auto"/>
        <w:bottom w:val="none" w:sz="0" w:space="0" w:color="auto"/>
        <w:right w:val="none" w:sz="0" w:space="0" w:color="auto"/>
      </w:divBdr>
    </w:div>
    <w:div w:id="1678651548">
      <w:bodyDiv w:val="1"/>
      <w:marLeft w:val="0"/>
      <w:marRight w:val="0"/>
      <w:marTop w:val="0"/>
      <w:marBottom w:val="0"/>
      <w:divBdr>
        <w:top w:val="none" w:sz="0" w:space="0" w:color="auto"/>
        <w:left w:val="none" w:sz="0" w:space="0" w:color="auto"/>
        <w:bottom w:val="none" w:sz="0" w:space="0" w:color="auto"/>
        <w:right w:val="none" w:sz="0" w:space="0" w:color="auto"/>
      </w:divBdr>
    </w:div>
    <w:div w:id="1681931776">
      <w:bodyDiv w:val="1"/>
      <w:marLeft w:val="0"/>
      <w:marRight w:val="0"/>
      <w:marTop w:val="0"/>
      <w:marBottom w:val="0"/>
      <w:divBdr>
        <w:top w:val="none" w:sz="0" w:space="0" w:color="auto"/>
        <w:left w:val="none" w:sz="0" w:space="0" w:color="auto"/>
        <w:bottom w:val="none" w:sz="0" w:space="0" w:color="auto"/>
        <w:right w:val="none" w:sz="0" w:space="0" w:color="auto"/>
      </w:divBdr>
    </w:div>
    <w:div w:id="1683898772">
      <w:bodyDiv w:val="1"/>
      <w:marLeft w:val="0"/>
      <w:marRight w:val="0"/>
      <w:marTop w:val="0"/>
      <w:marBottom w:val="0"/>
      <w:divBdr>
        <w:top w:val="none" w:sz="0" w:space="0" w:color="auto"/>
        <w:left w:val="none" w:sz="0" w:space="0" w:color="auto"/>
        <w:bottom w:val="none" w:sz="0" w:space="0" w:color="auto"/>
        <w:right w:val="none" w:sz="0" w:space="0" w:color="auto"/>
      </w:divBdr>
    </w:div>
    <w:div w:id="1691681033">
      <w:bodyDiv w:val="1"/>
      <w:marLeft w:val="0"/>
      <w:marRight w:val="0"/>
      <w:marTop w:val="0"/>
      <w:marBottom w:val="0"/>
      <w:divBdr>
        <w:top w:val="none" w:sz="0" w:space="0" w:color="auto"/>
        <w:left w:val="none" w:sz="0" w:space="0" w:color="auto"/>
        <w:bottom w:val="none" w:sz="0" w:space="0" w:color="auto"/>
        <w:right w:val="none" w:sz="0" w:space="0" w:color="auto"/>
      </w:divBdr>
    </w:div>
    <w:div w:id="1691880521">
      <w:bodyDiv w:val="1"/>
      <w:marLeft w:val="0"/>
      <w:marRight w:val="0"/>
      <w:marTop w:val="0"/>
      <w:marBottom w:val="0"/>
      <w:divBdr>
        <w:top w:val="none" w:sz="0" w:space="0" w:color="auto"/>
        <w:left w:val="none" w:sz="0" w:space="0" w:color="auto"/>
        <w:bottom w:val="none" w:sz="0" w:space="0" w:color="auto"/>
        <w:right w:val="none" w:sz="0" w:space="0" w:color="auto"/>
      </w:divBdr>
    </w:div>
    <w:div w:id="1720395214">
      <w:bodyDiv w:val="1"/>
      <w:marLeft w:val="0"/>
      <w:marRight w:val="0"/>
      <w:marTop w:val="0"/>
      <w:marBottom w:val="0"/>
      <w:divBdr>
        <w:top w:val="none" w:sz="0" w:space="0" w:color="auto"/>
        <w:left w:val="none" w:sz="0" w:space="0" w:color="auto"/>
        <w:bottom w:val="none" w:sz="0" w:space="0" w:color="auto"/>
        <w:right w:val="none" w:sz="0" w:space="0" w:color="auto"/>
      </w:divBdr>
    </w:div>
    <w:div w:id="1727294271">
      <w:bodyDiv w:val="1"/>
      <w:marLeft w:val="0"/>
      <w:marRight w:val="0"/>
      <w:marTop w:val="0"/>
      <w:marBottom w:val="0"/>
      <w:divBdr>
        <w:top w:val="none" w:sz="0" w:space="0" w:color="auto"/>
        <w:left w:val="none" w:sz="0" w:space="0" w:color="auto"/>
        <w:bottom w:val="none" w:sz="0" w:space="0" w:color="auto"/>
        <w:right w:val="none" w:sz="0" w:space="0" w:color="auto"/>
      </w:divBdr>
    </w:div>
    <w:div w:id="1737782216">
      <w:bodyDiv w:val="1"/>
      <w:marLeft w:val="0"/>
      <w:marRight w:val="0"/>
      <w:marTop w:val="0"/>
      <w:marBottom w:val="0"/>
      <w:divBdr>
        <w:top w:val="none" w:sz="0" w:space="0" w:color="auto"/>
        <w:left w:val="none" w:sz="0" w:space="0" w:color="auto"/>
        <w:bottom w:val="none" w:sz="0" w:space="0" w:color="auto"/>
        <w:right w:val="none" w:sz="0" w:space="0" w:color="auto"/>
      </w:divBdr>
    </w:div>
    <w:div w:id="1745226930">
      <w:bodyDiv w:val="1"/>
      <w:marLeft w:val="0"/>
      <w:marRight w:val="0"/>
      <w:marTop w:val="0"/>
      <w:marBottom w:val="0"/>
      <w:divBdr>
        <w:top w:val="none" w:sz="0" w:space="0" w:color="auto"/>
        <w:left w:val="none" w:sz="0" w:space="0" w:color="auto"/>
        <w:bottom w:val="none" w:sz="0" w:space="0" w:color="auto"/>
        <w:right w:val="none" w:sz="0" w:space="0" w:color="auto"/>
      </w:divBdr>
    </w:div>
    <w:div w:id="1747221883">
      <w:bodyDiv w:val="1"/>
      <w:marLeft w:val="0"/>
      <w:marRight w:val="0"/>
      <w:marTop w:val="0"/>
      <w:marBottom w:val="0"/>
      <w:divBdr>
        <w:top w:val="none" w:sz="0" w:space="0" w:color="auto"/>
        <w:left w:val="none" w:sz="0" w:space="0" w:color="auto"/>
        <w:bottom w:val="none" w:sz="0" w:space="0" w:color="auto"/>
        <w:right w:val="none" w:sz="0" w:space="0" w:color="auto"/>
      </w:divBdr>
    </w:div>
    <w:div w:id="1754693396">
      <w:bodyDiv w:val="1"/>
      <w:marLeft w:val="0"/>
      <w:marRight w:val="0"/>
      <w:marTop w:val="0"/>
      <w:marBottom w:val="0"/>
      <w:divBdr>
        <w:top w:val="none" w:sz="0" w:space="0" w:color="auto"/>
        <w:left w:val="none" w:sz="0" w:space="0" w:color="auto"/>
        <w:bottom w:val="none" w:sz="0" w:space="0" w:color="auto"/>
        <w:right w:val="none" w:sz="0" w:space="0" w:color="auto"/>
      </w:divBdr>
    </w:div>
    <w:div w:id="1758863225">
      <w:bodyDiv w:val="1"/>
      <w:marLeft w:val="0"/>
      <w:marRight w:val="0"/>
      <w:marTop w:val="0"/>
      <w:marBottom w:val="0"/>
      <w:divBdr>
        <w:top w:val="none" w:sz="0" w:space="0" w:color="auto"/>
        <w:left w:val="none" w:sz="0" w:space="0" w:color="auto"/>
        <w:bottom w:val="none" w:sz="0" w:space="0" w:color="auto"/>
        <w:right w:val="none" w:sz="0" w:space="0" w:color="auto"/>
      </w:divBdr>
    </w:div>
    <w:div w:id="1763839575">
      <w:bodyDiv w:val="1"/>
      <w:marLeft w:val="0"/>
      <w:marRight w:val="0"/>
      <w:marTop w:val="0"/>
      <w:marBottom w:val="0"/>
      <w:divBdr>
        <w:top w:val="none" w:sz="0" w:space="0" w:color="auto"/>
        <w:left w:val="none" w:sz="0" w:space="0" w:color="auto"/>
        <w:bottom w:val="none" w:sz="0" w:space="0" w:color="auto"/>
        <w:right w:val="none" w:sz="0" w:space="0" w:color="auto"/>
      </w:divBdr>
    </w:div>
    <w:div w:id="1781025500">
      <w:bodyDiv w:val="1"/>
      <w:marLeft w:val="0"/>
      <w:marRight w:val="0"/>
      <w:marTop w:val="0"/>
      <w:marBottom w:val="0"/>
      <w:divBdr>
        <w:top w:val="none" w:sz="0" w:space="0" w:color="auto"/>
        <w:left w:val="none" w:sz="0" w:space="0" w:color="auto"/>
        <w:bottom w:val="none" w:sz="0" w:space="0" w:color="auto"/>
        <w:right w:val="none" w:sz="0" w:space="0" w:color="auto"/>
      </w:divBdr>
    </w:div>
    <w:div w:id="1782652900">
      <w:bodyDiv w:val="1"/>
      <w:marLeft w:val="0"/>
      <w:marRight w:val="0"/>
      <w:marTop w:val="0"/>
      <w:marBottom w:val="0"/>
      <w:divBdr>
        <w:top w:val="none" w:sz="0" w:space="0" w:color="auto"/>
        <w:left w:val="none" w:sz="0" w:space="0" w:color="auto"/>
        <w:bottom w:val="none" w:sz="0" w:space="0" w:color="auto"/>
        <w:right w:val="none" w:sz="0" w:space="0" w:color="auto"/>
      </w:divBdr>
    </w:div>
    <w:div w:id="1787382504">
      <w:bodyDiv w:val="1"/>
      <w:marLeft w:val="0"/>
      <w:marRight w:val="0"/>
      <w:marTop w:val="0"/>
      <w:marBottom w:val="0"/>
      <w:divBdr>
        <w:top w:val="none" w:sz="0" w:space="0" w:color="auto"/>
        <w:left w:val="none" w:sz="0" w:space="0" w:color="auto"/>
        <w:bottom w:val="none" w:sz="0" w:space="0" w:color="auto"/>
        <w:right w:val="none" w:sz="0" w:space="0" w:color="auto"/>
      </w:divBdr>
    </w:div>
    <w:div w:id="1795447279">
      <w:bodyDiv w:val="1"/>
      <w:marLeft w:val="0"/>
      <w:marRight w:val="0"/>
      <w:marTop w:val="0"/>
      <w:marBottom w:val="0"/>
      <w:divBdr>
        <w:top w:val="none" w:sz="0" w:space="0" w:color="auto"/>
        <w:left w:val="none" w:sz="0" w:space="0" w:color="auto"/>
        <w:bottom w:val="none" w:sz="0" w:space="0" w:color="auto"/>
        <w:right w:val="none" w:sz="0" w:space="0" w:color="auto"/>
      </w:divBdr>
    </w:div>
    <w:div w:id="1802534020">
      <w:bodyDiv w:val="1"/>
      <w:marLeft w:val="0"/>
      <w:marRight w:val="0"/>
      <w:marTop w:val="0"/>
      <w:marBottom w:val="0"/>
      <w:divBdr>
        <w:top w:val="none" w:sz="0" w:space="0" w:color="auto"/>
        <w:left w:val="none" w:sz="0" w:space="0" w:color="auto"/>
        <w:bottom w:val="none" w:sz="0" w:space="0" w:color="auto"/>
        <w:right w:val="none" w:sz="0" w:space="0" w:color="auto"/>
      </w:divBdr>
    </w:div>
    <w:div w:id="1803813115">
      <w:bodyDiv w:val="1"/>
      <w:marLeft w:val="0"/>
      <w:marRight w:val="0"/>
      <w:marTop w:val="0"/>
      <w:marBottom w:val="0"/>
      <w:divBdr>
        <w:top w:val="none" w:sz="0" w:space="0" w:color="auto"/>
        <w:left w:val="none" w:sz="0" w:space="0" w:color="auto"/>
        <w:bottom w:val="none" w:sz="0" w:space="0" w:color="auto"/>
        <w:right w:val="none" w:sz="0" w:space="0" w:color="auto"/>
      </w:divBdr>
    </w:div>
    <w:div w:id="1806771583">
      <w:bodyDiv w:val="1"/>
      <w:marLeft w:val="0"/>
      <w:marRight w:val="0"/>
      <w:marTop w:val="0"/>
      <w:marBottom w:val="0"/>
      <w:divBdr>
        <w:top w:val="none" w:sz="0" w:space="0" w:color="auto"/>
        <w:left w:val="none" w:sz="0" w:space="0" w:color="auto"/>
        <w:bottom w:val="none" w:sz="0" w:space="0" w:color="auto"/>
        <w:right w:val="none" w:sz="0" w:space="0" w:color="auto"/>
      </w:divBdr>
    </w:div>
    <w:div w:id="1807771257">
      <w:bodyDiv w:val="1"/>
      <w:marLeft w:val="0"/>
      <w:marRight w:val="0"/>
      <w:marTop w:val="0"/>
      <w:marBottom w:val="0"/>
      <w:divBdr>
        <w:top w:val="none" w:sz="0" w:space="0" w:color="auto"/>
        <w:left w:val="none" w:sz="0" w:space="0" w:color="auto"/>
        <w:bottom w:val="none" w:sz="0" w:space="0" w:color="auto"/>
        <w:right w:val="none" w:sz="0" w:space="0" w:color="auto"/>
      </w:divBdr>
    </w:div>
    <w:div w:id="1830443605">
      <w:bodyDiv w:val="1"/>
      <w:marLeft w:val="0"/>
      <w:marRight w:val="0"/>
      <w:marTop w:val="0"/>
      <w:marBottom w:val="0"/>
      <w:divBdr>
        <w:top w:val="none" w:sz="0" w:space="0" w:color="auto"/>
        <w:left w:val="none" w:sz="0" w:space="0" w:color="auto"/>
        <w:bottom w:val="none" w:sz="0" w:space="0" w:color="auto"/>
        <w:right w:val="none" w:sz="0" w:space="0" w:color="auto"/>
      </w:divBdr>
    </w:div>
    <w:div w:id="1835029306">
      <w:bodyDiv w:val="1"/>
      <w:marLeft w:val="0"/>
      <w:marRight w:val="0"/>
      <w:marTop w:val="0"/>
      <w:marBottom w:val="0"/>
      <w:divBdr>
        <w:top w:val="none" w:sz="0" w:space="0" w:color="auto"/>
        <w:left w:val="none" w:sz="0" w:space="0" w:color="auto"/>
        <w:bottom w:val="none" w:sz="0" w:space="0" w:color="auto"/>
        <w:right w:val="none" w:sz="0" w:space="0" w:color="auto"/>
      </w:divBdr>
    </w:div>
    <w:div w:id="1860511949">
      <w:bodyDiv w:val="1"/>
      <w:marLeft w:val="0"/>
      <w:marRight w:val="0"/>
      <w:marTop w:val="0"/>
      <w:marBottom w:val="0"/>
      <w:divBdr>
        <w:top w:val="none" w:sz="0" w:space="0" w:color="auto"/>
        <w:left w:val="none" w:sz="0" w:space="0" w:color="auto"/>
        <w:bottom w:val="none" w:sz="0" w:space="0" w:color="auto"/>
        <w:right w:val="none" w:sz="0" w:space="0" w:color="auto"/>
      </w:divBdr>
    </w:div>
    <w:div w:id="1861354195">
      <w:bodyDiv w:val="1"/>
      <w:marLeft w:val="0"/>
      <w:marRight w:val="0"/>
      <w:marTop w:val="0"/>
      <w:marBottom w:val="0"/>
      <w:divBdr>
        <w:top w:val="none" w:sz="0" w:space="0" w:color="auto"/>
        <w:left w:val="none" w:sz="0" w:space="0" w:color="auto"/>
        <w:bottom w:val="none" w:sz="0" w:space="0" w:color="auto"/>
        <w:right w:val="none" w:sz="0" w:space="0" w:color="auto"/>
      </w:divBdr>
    </w:div>
    <w:div w:id="1861582608">
      <w:bodyDiv w:val="1"/>
      <w:marLeft w:val="0"/>
      <w:marRight w:val="0"/>
      <w:marTop w:val="0"/>
      <w:marBottom w:val="0"/>
      <w:divBdr>
        <w:top w:val="none" w:sz="0" w:space="0" w:color="auto"/>
        <w:left w:val="none" w:sz="0" w:space="0" w:color="auto"/>
        <w:bottom w:val="none" w:sz="0" w:space="0" w:color="auto"/>
        <w:right w:val="none" w:sz="0" w:space="0" w:color="auto"/>
      </w:divBdr>
    </w:div>
    <w:div w:id="1870412998">
      <w:bodyDiv w:val="1"/>
      <w:marLeft w:val="0"/>
      <w:marRight w:val="0"/>
      <w:marTop w:val="0"/>
      <w:marBottom w:val="0"/>
      <w:divBdr>
        <w:top w:val="none" w:sz="0" w:space="0" w:color="auto"/>
        <w:left w:val="none" w:sz="0" w:space="0" w:color="auto"/>
        <w:bottom w:val="none" w:sz="0" w:space="0" w:color="auto"/>
        <w:right w:val="none" w:sz="0" w:space="0" w:color="auto"/>
      </w:divBdr>
    </w:div>
    <w:div w:id="1875069080">
      <w:bodyDiv w:val="1"/>
      <w:marLeft w:val="0"/>
      <w:marRight w:val="0"/>
      <w:marTop w:val="0"/>
      <w:marBottom w:val="0"/>
      <w:divBdr>
        <w:top w:val="none" w:sz="0" w:space="0" w:color="auto"/>
        <w:left w:val="none" w:sz="0" w:space="0" w:color="auto"/>
        <w:bottom w:val="none" w:sz="0" w:space="0" w:color="auto"/>
        <w:right w:val="none" w:sz="0" w:space="0" w:color="auto"/>
      </w:divBdr>
    </w:div>
    <w:div w:id="1887258429">
      <w:bodyDiv w:val="1"/>
      <w:marLeft w:val="0"/>
      <w:marRight w:val="0"/>
      <w:marTop w:val="0"/>
      <w:marBottom w:val="0"/>
      <w:divBdr>
        <w:top w:val="none" w:sz="0" w:space="0" w:color="auto"/>
        <w:left w:val="none" w:sz="0" w:space="0" w:color="auto"/>
        <w:bottom w:val="none" w:sz="0" w:space="0" w:color="auto"/>
        <w:right w:val="none" w:sz="0" w:space="0" w:color="auto"/>
      </w:divBdr>
    </w:div>
    <w:div w:id="1888954263">
      <w:bodyDiv w:val="1"/>
      <w:marLeft w:val="0"/>
      <w:marRight w:val="0"/>
      <w:marTop w:val="0"/>
      <w:marBottom w:val="0"/>
      <w:divBdr>
        <w:top w:val="none" w:sz="0" w:space="0" w:color="auto"/>
        <w:left w:val="none" w:sz="0" w:space="0" w:color="auto"/>
        <w:bottom w:val="none" w:sz="0" w:space="0" w:color="auto"/>
        <w:right w:val="none" w:sz="0" w:space="0" w:color="auto"/>
      </w:divBdr>
    </w:div>
    <w:div w:id="1893468911">
      <w:bodyDiv w:val="1"/>
      <w:marLeft w:val="0"/>
      <w:marRight w:val="0"/>
      <w:marTop w:val="0"/>
      <w:marBottom w:val="0"/>
      <w:divBdr>
        <w:top w:val="none" w:sz="0" w:space="0" w:color="auto"/>
        <w:left w:val="none" w:sz="0" w:space="0" w:color="auto"/>
        <w:bottom w:val="none" w:sz="0" w:space="0" w:color="auto"/>
        <w:right w:val="none" w:sz="0" w:space="0" w:color="auto"/>
      </w:divBdr>
    </w:div>
    <w:div w:id="1903369018">
      <w:bodyDiv w:val="1"/>
      <w:marLeft w:val="0"/>
      <w:marRight w:val="0"/>
      <w:marTop w:val="0"/>
      <w:marBottom w:val="0"/>
      <w:divBdr>
        <w:top w:val="none" w:sz="0" w:space="0" w:color="auto"/>
        <w:left w:val="none" w:sz="0" w:space="0" w:color="auto"/>
        <w:bottom w:val="none" w:sz="0" w:space="0" w:color="auto"/>
        <w:right w:val="none" w:sz="0" w:space="0" w:color="auto"/>
      </w:divBdr>
    </w:div>
    <w:div w:id="1904365173">
      <w:bodyDiv w:val="1"/>
      <w:marLeft w:val="0"/>
      <w:marRight w:val="0"/>
      <w:marTop w:val="0"/>
      <w:marBottom w:val="0"/>
      <w:divBdr>
        <w:top w:val="none" w:sz="0" w:space="0" w:color="auto"/>
        <w:left w:val="none" w:sz="0" w:space="0" w:color="auto"/>
        <w:bottom w:val="none" w:sz="0" w:space="0" w:color="auto"/>
        <w:right w:val="none" w:sz="0" w:space="0" w:color="auto"/>
      </w:divBdr>
    </w:div>
    <w:div w:id="1905021619">
      <w:bodyDiv w:val="1"/>
      <w:marLeft w:val="0"/>
      <w:marRight w:val="0"/>
      <w:marTop w:val="0"/>
      <w:marBottom w:val="0"/>
      <w:divBdr>
        <w:top w:val="none" w:sz="0" w:space="0" w:color="auto"/>
        <w:left w:val="none" w:sz="0" w:space="0" w:color="auto"/>
        <w:bottom w:val="none" w:sz="0" w:space="0" w:color="auto"/>
        <w:right w:val="none" w:sz="0" w:space="0" w:color="auto"/>
      </w:divBdr>
    </w:div>
    <w:div w:id="1910185246">
      <w:bodyDiv w:val="1"/>
      <w:marLeft w:val="0"/>
      <w:marRight w:val="0"/>
      <w:marTop w:val="0"/>
      <w:marBottom w:val="0"/>
      <w:divBdr>
        <w:top w:val="none" w:sz="0" w:space="0" w:color="auto"/>
        <w:left w:val="none" w:sz="0" w:space="0" w:color="auto"/>
        <w:bottom w:val="none" w:sz="0" w:space="0" w:color="auto"/>
        <w:right w:val="none" w:sz="0" w:space="0" w:color="auto"/>
      </w:divBdr>
    </w:div>
    <w:div w:id="1917205814">
      <w:bodyDiv w:val="1"/>
      <w:marLeft w:val="0"/>
      <w:marRight w:val="0"/>
      <w:marTop w:val="0"/>
      <w:marBottom w:val="0"/>
      <w:divBdr>
        <w:top w:val="none" w:sz="0" w:space="0" w:color="auto"/>
        <w:left w:val="none" w:sz="0" w:space="0" w:color="auto"/>
        <w:bottom w:val="none" w:sz="0" w:space="0" w:color="auto"/>
        <w:right w:val="none" w:sz="0" w:space="0" w:color="auto"/>
      </w:divBdr>
    </w:div>
    <w:div w:id="1928612755">
      <w:bodyDiv w:val="1"/>
      <w:marLeft w:val="0"/>
      <w:marRight w:val="0"/>
      <w:marTop w:val="0"/>
      <w:marBottom w:val="0"/>
      <w:divBdr>
        <w:top w:val="none" w:sz="0" w:space="0" w:color="auto"/>
        <w:left w:val="none" w:sz="0" w:space="0" w:color="auto"/>
        <w:bottom w:val="none" w:sz="0" w:space="0" w:color="auto"/>
        <w:right w:val="none" w:sz="0" w:space="0" w:color="auto"/>
      </w:divBdr>
    </w:div>
    <w:div w:id="1932545710">
      <w:bodyDiv w:val="1"/>
      <w:marLeft w:val="0"/>
      <w:marRight w:val="0"/>
      <w:marTop w:val="0"/>
      <w:marBottom w:val="0"/>
      <w:divBdr>
        <w:top w:val="none" w:sz="0" w:space="0" w:color="auto"/>
        <w:left w:val="none" w:sz="0" w:space="0" w:color="auto"/>
        <w:bottom w:val="none" w:sz="0" w:space="0" w:color="auto"/>
        <w:right w:val="none" w:sz="0" w:space="0" w:color="auto"/>
      </w:divBdr>
    </w:div>
    <w:div w:id="1937472092">
      <w:bodyDiv w:val="1"/>
      <w:marLeft w:val="0"/>
      <w:marRight w:val="0"/>
      <w:marTop w:val="0"/>
      <w:marBottom w:val="0"/>
      <w:divBdr>
        <w:top w:val="none" w:sz="0" w:space="0" w:color="auto"/>
        <w:left w:val="none" w:sz="0" w:space="0" w:color="auto"/>
        <w:bottom w:val="none" w:sz="0" w:space="0" w:color="auto"/>
        <w:right w:val="none" w:sz="0" w:space="0" w:color="auto"/>
      </w:divBdr>
    </w:div>
    <w:div w:id="1937515524">
      <w:bodyDiv w:val="1"/>
      <w:marLeft w:val="0"/>
      <w:marRight w:val="0"/>
      <w:marTop w:val="0"/>
      <w:marBottom w:val="0"/>
      <w:divBdr>
        <w:top w:val="none" w:sz="0" w:space="0" w:color="auto"/>
        <w:left w:val="none" w:sz="0" w:space="0" w:color="auto"/>
        <w:bottom w:val="none" w:sz="0" w:space="0" w:color="auto"/>
        <w:right w:val="none" w:sz="0" w:space="0" w:color="auto"/>
      </w:divBdr>
    </w:div>
    <w:div w:id="1947929038">
      <w:bodyDiv w:val="1"/>
      <w:marLeft w:val="0"/>
      <w:marRight w:val="0"/>
      <w:marTop w:val="0"/>
      <w:marBottom w:val="0"/>
      <w:divBdr>
        <w:top w:val="none" w:sz="0" w:space="0" w:color="auto"/>
        <w:left w:val="none" w:sz="0" w:space="0" w:color="auto"/>
        <w:bottom w:val="none" w:sz="0" w:space="0" w:color="auto"/>
        <w:right w:val="none" w:sz="0" w:space="0" w:color="auto"/>
      </w:divBdr>
    </w:div>
    <w:div w:id="1949853613">
      <w:bodyDiv w:val="1"/>
      <w:marLeft w:val="0"/>
      <w:marRight w:val="0"/>
      <w:marTop w:val="0"/>
      <w:marBottom w:val="0"/>
      <w:divBdr>
        <w:top w:val="none" w:sz="0" w:space="0" w:color="auto"/>
        <w:left w:val="none" w:sz="0" w:space="0" w:color="auto"/>
        <w:bottom w:val="none" w:sz="0" w:space="0" w:color="auto"/>
        <w:right w:val="none" w:sz="0" w:space="0" w:color="auto"/>
      </w:divBdr>
    </w:div>
    <w:div w:id="1959145848">
      <w:bodyDiv w:val="1"/>
      <w:marLeft w:val="0"/>
      <w:marRight w:val="0"/>
      <w:marTop w:val="0"/>
      <w:marBottom w:val="0"/>
      <w:divBdr>
        <w:top w:val="none" w:sz="0" w:space="0" w:color="auto"/>
        <w:left w:val="none" w:sz="0" w:space="0" w:color="auto"/>
        <w:bottom w:val="none" w:sz="0" w:space="0" w:color="auto"/>
        <w:right w:val="none" w:sz="0" w:space="0" w:color="auto"/>
      </w:divBdr>
    </w:div>
    <w:div w:id="1961300425">
      <w:bodyDiv w:val="1"/>
      <w:marLeft w:val="0"/>
      <w:marRight w:val="0"/>
      <w:marTop w:val="0"/>
      <w:marBottom w:val="0"/>
      <w:divBdr>
        <w:top w:val="none" w:sz="0" w:space="0" w:color="auto"/>
        <w:left w:val="none" w:sz="0" w:space="0" w:color="auto"/>
        <w:bottom w:val="none" w:sz="0" w:space="0" w:color="auto"/>
        <w:right w:val="none" w:sz="0" w:space="0" w:color="auto"/>
      </w:divBdr>
    </w:div>
    <w:div w:id="1968007423">
      <w:bodyDiv w:val="1"/>
      <w:marLeft w:val="0"/>
      <w:marRight w:val="0"/>
      <w:marTop w:val="0"/>
      <w:marBottom w:val="0"/>
      <w:divBdr>
        <w:top w:val="none" w:sz="0" w:space="0" w:color="auto"/>
        <w:left w:val="none" w:sz="0" w:space="0" w:color="auto"/>
        <w:bottom w:val="none" w:sz="0" w:space="0" w:color="auto"/>
        <w:right w:val="none" w:sz="0" w:space="0" w:color="auto"/>
      </w:divBdr>
    </w:div>
    <w:div w:id="1975327845">
      <w:bodyDiv w:val="1"/>
      <w:marLeft w:val="0"/>
      <w:marRight w:val="0"/>
      <w:marTop w:val="0"/>
      <w:marBottom w:val="0"/>
      <w:divBdr>
        <w:top w:val="none" w:sz="0" w:space="0" w:color="auto"/>
        <w:left w:val="none" w:sz="0" w:space="0" w:color="auto"/>
        <w:bottom w:val="none" w:sz="0" w:space="0" w:color="auto"/>
        <w:right w:val="none" w:sz="0" w:space="0" w:color="auto"/>
      </w:divBdr>
    </w:div>
    <w:div w:id="1985430487">
      <w:bodyDiv w:val="1"/>
      <w:marLeft w:val="0"/>
      <w:marRight w:val="0"/>
      <w:marTop w:val="0"/>
      <w:marBottom w:val="0"/>
      <w:divBdr>
        <w:top w:val="none" w:sz="0" w:space="0" w:color="auto"/>
        <w:left w:val="none" w:sz="0" w:space="0" w:color="auto"/>
        <w:bottom w:val="none" w:sz="0" w:space="0" w:color="auto"/>
        <w:right w:val="none" w:sz="0" w:space="0" w:color="auto"/>
      </w:divBdr>
    </w:div>
    <w:div w:id="1991398123">
      <w:bodyDiv w:val="1"/>
      <w:marLeft w:val="0"/>
      <w:marRight w:val="0"/>
      <w:marTop w:val="0"/>
      <w:marBottom w:val="0"/>
      <w:divBdr>
        <w:top w:val="none" w:sz="0" w:space="0" w:color="auto"/>
        <w:left w:val="none" w:sz="0" w:space="0" w:color="auto"/>
        <w:bottom w:val="none" w:sz="0" w:space="0" w:color="auto"/>
        <w:right w:val="none" w:sz="0" w:space="0" w:color="auto"/>
      </w:divBdr>
    </w:div>
    <w:div w:id="1996373777">
      <w:bodyDiv w:val="1"/>
      <w:marLeft w:val="0"/>
      <w:marRight w:val="0"/>
      <w:marTop w:val="0"/>
      <w:marBottom w:val="0"/>
      <w:divBdr>
        <w:top w:val="none" w:sz="0" w:space="0" w:color="auto"/>
        <w:left w:val="none" w:sz="0" w:space="0" w:color="auto"/>
        <w:bottom w:val="none" w:sz="0" w:space="0" w:color="auto"/>
        <w:right w:val="none" w:sz="0" w:space="0" w:color="auto"/>
      </w:divBdr>
    </w:div>
    <w:div w:id="2004432697">
      <w:bodyDiv w:val="1"/>
      <w:marLeft w:val="0"/>
      <w:marRight w:val="0"/>
      <w:marTop w:val="0"/>
      <w:marBottom w:val="0"/>
      <w:divBdr>
        <w:top w:val="none" w:sz="0" w:space="0" w:color="auto"/>
        <w:left w:val="none" w:sz="0" w:space="0" w:color="auto"/>
        <w:bottom w:val="none" w:sz="0" w:space="0" w:color="auto"/>
        <w:right w:val="none" w:sz="0" w:space="0" w:color="auto"/>
      </w:divBdr>
    </w:div>
    <w:div w:id="2006666437">
      <w:bodyDiv w:val="1"/>
      <w:marLeft w:val="0"/>
      <w:marRight w:val="0"/>
      <w:marTop w:val="0"/>
      <w:marBottom w:val="0"/>
      <w:divBdr>
        <w:top w:val="none" w:sz="0" w:space="0" w:color="auto"/>
        <w:left w:val="none" w:sz="0" w:space="0" w:color="auto"/>
        <w:bottom w:val="none" w:sz="0" w:space="0" w:color="auto"/>
        <w:right w:val="none" w:sz="0" w:space="0" w:color="auto"/>
      </w:divBdr>
    </w:div>
    <w:div w:id="2010401261">
      <w:bodyDiv w:val="1"/>
      <w:marLeft w:val="0"/>
      <w:marRight w:val="0"/>
      <w:marTop w:val="0"/>
      <w:marBottom w:val="0"/>
      <w:divBdr>
        <w:top w:val="none" w:sz="0" w:space="0" w:color="auto"/>
        <w:left w:val="none" w:sz="0" w:space="0" w:color="auto"/>
        <w:bottom w:val="none" w:sz="0" w:space="0" w:color="auto"/>
        <w:right w:val="none" w:sz="0" w:space="0" w:color="auto"/>
      </w:divBdr>
    </w:div>
    <w:div w:id="2016182191">
      <w:bodyDiv w:val="1"/>
      <w:marLeft w:val="0"/>
      <w:marRight w:val="0"/>
      <w:marTop w:val="0"/>
      <w:marBottom w:val="0"/>
      <w:divBdr>
        <w:top w:val="none" w:sz="0" w:space="0" w:color="auto"/>
        <w:left w:val="none" w:sz="0" w:space="0" w:color="auto"/>
        <w:bottom w:val="none" w:sz="0" w:space="0" w:color="auto"/>
        <w:right w:val="none" w:sz="0" w:space="0" w:color="auto"/>
      </w:divBdr>
    </w:div>
    <w:div w:id="2016953679">
      <w:bodyDiv w:val="1"/>
      <w:marLeft w:val="0"/>
      <w:marRight w:val="0"/>
      <w:marTop w:val="0"/>
      <w:marBottom w:val="0"/>
      <w:divBdr>
        <w:top w:val="none" w:sz="0" w:space="0" w:color="auto"/>
        <w:left w:val="none" w:sz="0" w:space="0" w:color="auto"/>
        <w:bottom w:val="none" w:sz="0" w:space="0" w:color="auto"/>
        <w:right w:val="none" w:sz="0" w:space="0" w:color="auto"/>
      </w:divBdr>
    </w:div>
    <w:div w:id="2019648991">
      <w:bodyDiv w:val="1"/>
      <w:marLeft w:val="0"/>
      <w:marRight w:val="0"/>
      <w:marTop w:val="0"/>
      <w:marBottom w:val="0"/>
      <w:divBdr>
        <w:top w:val="none" w:sz="0" w:space="0" w:color="auto"/>
        <w:left w:val="none" w:sz="0" w:space="0" w:color="auto"/>
        <w:bottom w:val="none" w:sz="0" w:space="0" w:color="auto"/>
        <w:right w:val="none" w:sz="0" w:space="0" w:color="auto"/>
      </w:divBdr>
    </w:div>
    <w:div w:id="2034920592">
      <w:bodyDiv w:val="1"/>
      <w:marLeft w:val="0"/>
      <w:marRight w:val="0"/>
      <w:marTop w:val="0"/>
      <w:marBottom w:val="0"/>
      <w:divBdr>
        <w:top w:val="none" w:sz="0" w:space="0" w:color="auto"/>
        <w:left w:val="none" w:sz="0" w:space="0" w:color="auto"/>
        <w:bottom w:val="none" w:sz="0" w:space="0" w:color="auto"/>
        <w:right w:val="none" w:sz="0" w:space="0" w:color="auto"/>
      </w:divBdr>
    </w:div>
    <w:div w:id="2053457983">
      <w:bodyDiv w:val="1"/>
      <w:marLeft w:val="0"/>
      <w:marRight w:val="0"/>
      <w:marTop w:val="0"/>
      <w:marBottom w:val="0"/>
      <w:divBdr>
        <w:top w:val="none" w:sz="0" w:space="0" w:color="auto"/>
        <w:left w:val="none" w:sz="0" w:space="0" w:color="auto"/>
        <w:bottom w:val="none" w:sz="0" w:space="0" w:color="auto"/>
        <w:right w:val="none" w:sz="0" w:space="0" w:color="auto"/>
      </w:divBdr>
    </w:div>
    <w:div w:id="2061633516">
      <w:bodyDiv w:val="1"/>
      <w:marLeft w:val="0"/>
      <w:marRight w:val="0"/>
      <w:marTop w:val="0"/>
      <w:marBottom w:val="0"/>
      <w:divBdr>
        <w:top w:val="none" w:sz="0" w:space="0" w:color="auto"/>
        <w:left w:val="none" w:sz="0" w:space="0" w:color="auto"/>
        <w:bottom w:val="none" w:sz="0" w:space="0" w:color="auto"/>
        <w:right w:val="none" w:sz="0" w:space="0" w:color="auto"/>
      </w:divBdr>
    </w:div>
    <w:div w:id="2067681785">
      <w:bodyDiv w:val="1"/>
      <w:marLeft w:val="0"/>
      <w:marRight w:val="0"/>
      <w:marTop w:val="0"/>
      <w:marBottom w:val="0"/>
      <w:divBdr>
        <w:top w:val="none" w:sz="0" w:space="0" w:color="auto"/>
        <w:left w:val="none" w:sz="0" w:space="0" w:color="auto"/>
        <w:bottom w:val="none" w:sz="0" w:space="0" w:color="auto"/>
        <w:right w:val="none" w:sz="0" w:space="0" w:color="auto"/>
      </w:divBdr>
    </w:div>
    <w:div w:id="2069958710">
      <w:bodyDiv w:val="1"/>
      <w:marLeft w:val="0"/>
      <w:marRight w:val="0"/>
      <w:marTop w:val="0"/>
      <w:marBottom w:val="0"/>
      <w:divBdr>
        <w:top w:val="none" w:sz="0" w:space="0" w:color="auto"/>
        <w:left w:val="none" w:sz="0" w:space="0" w:color="auto"/>
        <w:bottom w:val="none" w:sz="0" w:space="0" w:color="auto"/>
        <w:right w:val="none" w:sz="0" w:space="0" w:color="auto"/>
      </w:divBdr>
    </w:div>
    <w:div w:id="2070612249">
      <w:bodyDiv w:val="1"/>
      <w:marLeft w:val="0"/>
      <w:marRight w:val="0"/>
      <w:marTop w:val="0"/>
      <w:marBottom w:val="0"/>
      <w:divBdr>
        <w:top w:val="none" w:sz="0" w:space="0" w:color="auto"/>
        <w:left w:val="none" w:sz="0" w:space="0" w:color="auto"/>
        <w:bottom w:val="none" w:sz="0" w:space="0" w:color="auto"/>
        <w:right w:val="none" w:sz="0" w:space="0" w:color="auto"/>
      </w:divBdr>
    </w:div>
    <w:div w:id="2074347613">
      <w:bodyDiv w:val="1"/>
      <w:marLeft w:val="0"/>
      <w:marRight w:val="0"/>
      <w:marTop w:val="0"/>
      <w:marBottom w:val="0"/>
      <w:divBdr>
        <w:top w:val="none" w:sz="0" w:space="0" w:color="auto"/>
        <w:left w:val="none" w:sz="0" w:space="0" w:color="auto"/>
        <w:bottom w:val="none" w:sz="0" w:space="0" w:color="auto"/>
        <w:right w:val="none" w:sz="0" w:space="0" w:color="auto"/>
      </w:divBdr>
    </w:div>
    <w:div w:id="2076972236">
      <w:bodyDiv w:val="1"/>
      <w:marLeft w:val="0"/>
      <w:marRight w:val="0"/>
      <w:marTop w:val="0"/>
      <w:marBottom w:val="0"/>
      <w:divBdr>
        <w:top w:val="none" w:sz="0" w:space="0" w:color="auto"/>
        <w:left w:val="none" w:sz="0" w:space="0" w:color="auto"/>
        <w:bottom w:val="none" w:sz="0" w:space="0" w:color="auto"/>
        <w:right w:val="none" w:sz="0" w:space="0" w:color="auto"/>
      </w:divBdr>
    </w:div>
    <w:div w:id="2077582632">
      <w:bodyDiv w:val="1"/>
      <w:marLeft w:val="0"/>
      <w:marRight w:val="0"/>
      <w:marTop w:val="0"/>
      <w:marBottom w:val="0"/>
      <w:divBdr>
        <w:top w:val="none" w:sz="0" w:space="0" w:color="auto"/>
        <w:left w:val="none" w:sz="0" w:space="0" w:color="auto"/>
        <w:bottom w:val="none" w:sz="0" w:space="0" w:color="auto"/>
        <w:right w:val="none" w:sz="0" w:space="0" w:color="auto"/>
      </w:divBdr>
    </w:div>
    <w:div w:id="2082869980">
      <w:bodyDiv w:val="1"/>
      <w:marLeft w:val="0"/>
      <w:marRight w:val="0"/>
      <w:marTop w:val="0"/>
      <w:marBottom w:val="0"/>
      <w:divBdr>
        <w:top w:val="none" w:sz="0" w:space="0" w:color="auto"/>
        <w:left w:val="none" w:sz="0" w:space="0" w:color="auto"/>
        <w:bottom w:val="none" w:sz="0" w:space="0" w:color="auto"/>
        <w:right w:val="none" w:sz="0" w:space="0" w:color="auto"/>
      </w:divBdr>
    </w:div>
    <w:div w:id="2089838657">
      <w:bodyDiv w:val="1"/>
      <w:marLeft w:val="0"/>
      <w:marRight w:val="0"/>
      <w:marTop w:val="0"/>
      <w:marBottom w:val="0"/>
      <w:divBdr>
        <w:top w:val="none" w:sz="0" w:space="0" w:color="auto"/>
        <w:left w:val="none" w:sz="0" w:space="0" w:color="auto"/>
        <w:bottom w:val="none" w:sz="0" w:space="0" w:color="auto"/>
        <w:right w:val="none" w:sz="0" w:space="0" w:color="auto"/>
      </w:divBdr>
    </w:div>
    <w:div w:id="2111847675">
      <w:bodyDiv w:val="1"/>
      <w:marLeft w:val="0"/>
      <w:marRight w:val="0"/>
      <w:marTop w:val="0"/>
      <w:marBottom w:val="0"/>
      <w:divBdr>
        <w:top w:val="none" w:sz="0" w:space="0" w:color="auto"/>
        <w:left w:val="none" w:sz="0" w:space="0" w:color="auto"/>
        <w:bottom w:val="none" w:sz="0" w:space="0" w:color="auto"/>
        <w:right w:val="none" w:sz="0" w:space="0" w:color="auto"/>
      </w:divBdr>
    </w:div>
    <w:div w:id="2115324925">
      <w:bodyDiv w:val="1"/>
      <w:marLeft w:val="0"/>
      <w:marRight w:val="0"/>
      <w:marTop w:val="0"/>
      <w:marBottom w:val="0"/>
      <w:divBdr>
        <w:top w:val="none" w:sz="0" w:space="0" w:color="auto"/>
        <w:left w:val="none" w:sz="0" w:space="0" w:color="auto"/>
        <w:bottom w:val="none" w:sz="0" w:space="0" w:color="auto"/>
        <w:right w:val="none" w:sz="0" w:space="0" w:color="auto"/>
      </w:divBdr>
    </w:div>
    <w:div w:id="2115706640">
      <w:bodyDiv w:val="1"/>
      <w:marLeft w:val="0"/>
      <w:marRight w:val="0"/>
      <w:marTop w:val="0"/>
      <w:marBottom w:val="0"/>
      <w:divBdr>
        <w:top w:val="none" w:sz="0" w:space="0" w:color="auto"/>
        <w:left w:val="none" w:sz="0" w:space="0" w:color="auto"/>
        <w:bottom w:val="none" w:sz="0" w:space="0" w:color="auto"/>
        <w:right w:val="none" w:sz="0" w:space="0" w:color="auto"/>
      </w:divBdr>
    </w:div>
    <w:div w:id="2116512118">
      <w:bodyDiv w:val="1"/>
      <w:marLeft w:val="0"/>
      <w:marRight w:val="0"/>
      <w:marTop w:val="0"/>
      <w:marBottom w:val="0"/>
      <w:divBdr>
        <w:top w:val="none" w:sz="0" w:space="0" w:color="auto"/>
        <w:left w:val="none" w:sz="0" w:space="0" w:color="auto"/>
        <w:bottom w:val="none" w:sz="0" w:space="0" w:color="auto"/>
        <w:right w:val="none" w:sz="0" w:space="0" w:color="auto"/>
      </w:divBdr>
    </w:div>
    <w:div w:id="2118409590">
      <w:bodyDiv w:val="1"/>
      <w:marLeft w:val="0"/>
      <w:marRight w:val="0"/>
      <w:marTop w:val="0"/>
      <w:marBottom w:val="0"/>
      <w:divBdr>
        <w:top w:val="none" w:sz="0" w:space="0" w:color="auto"/>
        <w:left w:val="none" w:sz="0" w:space="0" w:color="auto"/>
        <w:bottom w:val="none" w:sz="0" w:space="0" w:color="auto"/>
        <w:right w:val="none" w:sz="0" w:space="0" w:color="auto"/>
      </w:divBdr>
    </w:div>
    <w:div w:id="2132162486">
      <w:bodyDiv w:val="1"/>
      <w:marLeft w:val="0"/>
      <w:marRight w:val="0"/>
      <w:marTop w:val="0"/>
      <w:marBottom w:val="0"/>
      <w:divBdr>
        <w:top w:val="none" w:sz="0" w:space="0" w:color="auto"/>
        <w:left w:val="none" w:sz="0" w:space="0" w:color="auto"/>
        <w:bottom w:val="none" w:sz="0" w:space="0" w:color="auto"/>
        <w:right w:val="none" w:sz="0" w:space="0" w:color="auto"/>
      </w:divBdr>
    </w:div>
    <w:div w:id="2140877557">
      <w:bodyDiv w:val="1"/>
      <w:marLeft w:val="0"/>
      <w:marRight w:val="0"/>
      <w:marTop w:val="0"/>
      <w:marBottom w:val="0"/>
      <w:divBdr>
        <w:top w:val="none" w:sz="0" w:space="0" w:color="auto"/>
        <w:left w:val="none" w:sz="0" w:space="0" w:color="auto"/>
        <w:bottom w:val="none" w:sz="0" w:space="0" w:color="auto"/>
        <w:right w:val="none" w:sz="0" w:space="0" w:color="auto"/>
      </w:divBdr>
    </w:div>
    <w:div w:id="214284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1EF53-B2C2-4BE7-A0CE-D6A58D1AC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40</Pages>
  <Words>9385</Words>
  <Characters>53497</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LILI</cp:lastModifiedBy>
  <cp:revision>2</cp:revision>
  <cp:lastPrinted>2018-11-29T08:30:00Z</cp:lastPrinted>
  <dcterms:created xsi:type="dcterms:W3CDTF">2018-12-07T05:56:00Z</dcterms:created>
  <dcterms:modified xsi:type="dcterms:W3CDTF">2018-12-07T05:56:00Z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